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36" w:rsidRPr="00544F3D" w:rsidRDefault="00366336" w:rsidP="00366336">
      <w:pPr>
        <w:ind w:right="43"/>
        <w:jc w:val="center"/>
        <w:rPr>
          <w:bCs/>
          <w:iCs/>
          <w:lang w:val="uk-UA"/>
        </w:rPr>
      </w:pPr>
      <w:r w:rsidRPr="00544F3D">
        <w:rPr>
          <w:bCs/>
          <w:iCs/>
          <w:lang w:val="uk-UA"/>
        </w:rPr>
        <w:t xml:space="preserve">АНАЛІЗ ВПЛИВУ РЕГУЛЯТОРНОГО АКТУ </w:t>
      </w:r>
    </w:p>
    <w:p w:rsidR="00366336" w:rsidRDefault="00366336" w:rsidP="00366336">
      <w:pPr>
        <w:spacing w:before="100" w:beforeAutospacing="1" w:after="100" w:afterAutospacing="1"/>
        <w:ind w:right="-1"/>
        <w:jc w:val="both"/>
        <w:rPr>
          <w:sz w:val="22"/>
          <w:szCs w:val="22"/>
          <w:lang w:val="uk-UA"/>
        </w:rPr>
      </w:pPr>
      <w:r w:rsidRPr="009778FA">
        <w:rPr>
          <w:bCs/>
          <w:iCs/>
          <w:lang w:val="uk-UA"/>
        </w:rPr>
        <w:t xml:space="preserve">НАЗВА  АКТУ:  </w:t>
      </w:r>
      <w:r>
        <w:rPr>
          <w:bCs/>
          <w:iCs/>
          <w:lang w:val="uk-UA"/>
        </w:rPr>
        <w:t>Проєкт рішення Южноукраїнської міської ради «</w:t>
      </w:r>
      <w:r>
        <w:rPr>
          <w:color w:val="000000"/>
          <w:lang w:val="uk-UA"/>
        </w:rPr>
        <w:t xml:space="preserve">Про втрату чинності рішення Южноукраїнської міської ради від 12.10.2009 №1104 «Про затвердження Концепції розвитку ринків м. Южноукраїнська». </w:t>
      </w:r>
    </w:p>
    <w:p w:rsidR="00366336" w:rsidRPr="007E23AF" w:rsidRDefault="00366336" w:rsidP="00366336">
      <w:pPr>
        <w:spacing w:before="100" w:beforeAutospacing="1" w:after="100" w:afterAutospacing="1"/>
        <w:ind w:right="-1"/>
        <w:jc w:val="both"/>
        <w:rPr>
          <w:sz w:val="22"/>
          <w:szCs w:val="22"/>
          <w:lang w:val="uk-UA"/>
        </w:rPr>
      </w:pPr>
      <w:r w:rsidRPr="009778FA">
        <w:rPr>
          <w:lang w:val="uk-UA"/>
        </w:rPr>
        <w:t xml:space="preserve">Аналіз впливу регуляторного акту - </w:t>
      </w:r>
      <w:proofErr w:type="spellStart"/>
      <w:r w:rsidRPr="009778FA">
        <w:rPr>
          <w:lang w:val="uk-UA"/>
        </w:rPr>
        <w:t>про</w:t>
      </w:r>
      <w:r>
        <w:rPr>
          <w:lang w:val="uk-UA"/>
        </w:rPr>
        <w:t>є</w:t>
      </w:r>
      <w:r w:rsidRPr="009778FA">
        <w:rPr>
          <w:lang w:val="uk-UA"/>
        </w:rPr>
        <w:t>кту</w:t>
      </w:r>
      <w:proofErr w:type="spellEnd"/>
      <w:r w:rsidRPr="009778FA">
        <w:rPr>
          <w:lang w:val="uk-UA"/>
        </w:rPr>
        <w:t xml:space="preserve"> </w:t>
      </w:r>
      <w:r>
        <w:rPr>
          <w:bCs/>
          <w:iCs/>
          <w:lang w:val="uk-UA"/>
        </w:rPr>
        <w:t>рішення Южноукраїнської міської ради «</w:t>
      </w:r>
      <w:r>
        <w:rPr>
          <w:color w:val="000000"/>
          <w:lang w:val="uk-UA"/>
        </w:rPr>
        <w:t>Про втрату чинності рішення Южноукраїнської міської ради від 12.10.2009 №1104 «Про затвердження Концепції розвитку ринків м. Южноукраїнська»</w:t>
      </w:r>
      <w:r w:rsidRPr="009778FA">
        <w:rPr>
          <w:lang w:val="uk-UA"/>
        </w:rPr>
        <w:t xml:space="preserve"> розроблено на виконання та з дотриманням вимог </w:t>
      </w:r>
      <w:r>
        <w:rPr>
          <w:lang w:val="uk-UA"/>
        </w:rPr>
        <w:t>з</w:t>
      </w:r>
      <w:r w:rsidRPr="009778FA">
        <w:rPr>
          <w:lang w:val="uk-UA"/>
        </w:rPr>
        <w:t>акон</w:t>
      </w:r>
      <w:r>
        <w:rPr>
          <w:lang w:val="uk-UA"/>
        </w:rPr>
        <w:t>ів</w:t>
      </w:r>
      <w:r w:rsidRPr="009778FA">
        <w:rPr>
          <w:lang w:val="uk-UA"/>
        </w:rPr>
        <w:t xml:space="preserve"> України «Про засади державної регуляторної політики в сфері господарської діяльності»</w:t>
      </w:r>
      <w:r>
        <w:rPr>
          <w:lang w:val="uk-UA"/>
        </w:rPr>
        <w:t>, «Про захист від недобросовісної конкуренції»</w:t>
      </w:r>
      <w:r w:rsidRPr="009778FA">
        <w:rPr>
          <w:lang w:val="uk-UA"/>
        </w:rPr>
        <w:t xml:space="preserve"> та з урахуванням положень Методики проведення аналізу впливу регуляторного акту, затвердженої постановою Кабінету Міністрів України від 11.03.2004 №308. </w:t>
      </w:r>
    </w:p>
    <w:p w:rsidR="00366336" w:rsidRPr="009778FA" w:rsidRDefault="00366336" w:rsidP="00366336">
      <w:pPr>
        <w:tabs>
          <w:tab w:val="left" w:pos="540"/>
        </w:tabs>
        <w:ind w:right="-5"/>
        <w:jc w:val="both"/>
        <w:rPr>
          <w:lang w:val="uk-UA"/>
        </w:rPr>
      </w:pPr>
      <w:r w:rsidRPr="009778FA">
        <w:rPr>
          <w:lang w:val="uk-UA"/>
        </w:rPr>
        <w:tab/>
        <w:t xml:space="preserve">Аналіз визначає правові та організаційні засади реалізації </w:t>
      </w:r>
      <w:proofErr w:type="spellStart"/>
      <w:r w:rsidRPr="009778FA">
        <w:rPr>
          <w:lang w:val="uk-UA"/>
        </w:rPr>
        <w:t>про</w:t>
      </w:r>
      <w:r>
        <w:rPr>
          <w:lang w:val="uk-UA"/>
        </w:rPr>
        <w:t>є</w:t>
      </w:r>
      <w:r w:rsidRPr="009778FA">
        <w:rPr>
          <w:lang w:val="uk-UA"/>
        </w:rPr>
        <w:t>кту</w:t>
      </w:r>
      <w:proofErr w:type="spellEnd"/>
      <w:r w:rsidRPr="009778FA">
        <w:rPr>
          <w:lang w:val="uk-UA"/>
        </w:rPr>
        <w:t xml:space="preserve"> </w:t>
      </w:r>
      <w:r>
        <w:rPr>
          <w:bCs/>
          <w:iCs/>
          <w:lang w:val="uk-UA"/>
        </w:rPr>
        <w:t>рішення Южноукраїнської міської ради «</w:t>
      </w:r>
      <w:r>
        <w:rPr>
          <w:color w:val="000000"/>
          <w:lang w:val="uk-UA"/>
        </w:rPr>
        <w:t>Про втрату чинності рішення Южноукраїнської міської ради від 12.10.2009 №1104 «Про затвердження Концепції розвитку ринків                                   м. Южноукраїнська».</w:t>
      </w:r>
    </w:p>
    <w:p w:rsidR="00366336" w:rsidRDefault="00366336" w:rsidP="00366336">
      <w:pPr>
        <w:ind w:right="43"/>
        <w:jc w:val="both"/>
        <w:rPr>
          <w:iCs/>
          <w:color w:val="3366FF"/>
          <w:lang w:val="uk-UA"/>
        </w:rPr>
      </w:pPr>
    </w:p>
    <w:p w:rsidR="00366336" w:rsidRDefault="00366336" w:rsidP="00366336">
      <w:pPr>
        <w:ind w:right="43"/>
        <w:jc w:val="center"/>
        <w:rPr>
          <w:iCs/>
          <w:lang w:val="uk-UA"/>
        </w:rPr>
      </w:pPr>
      <w:r w:rsidRPr="00A846A0">
        <w:rPr>
          <w:iCs/>
          <w:lang w:val="uk-UA"/>
        </w:rPr>
        <w:t>МЕТА ДЕРЖАВНОГО РЕГУЛЮВАННЯ</w:t>
      </w:r>
    </w:p>
    <w:p w:rsidR="00366336" w:rsidRPr="00A846A0" w:rsidRDefault="00366336" w:rsidP="00366336">
      <w:pPr>
        <w:ind w:right="43"/>
        <w:jc w:val="center"/>
        <w:rPr>
          <w:iCs/>
          <w:lang w:val="uk-UA"/>
        </w:rPr>
      </w:pPr>
    </w:p>
    <w:p w:rsidR="00366336" w:rsidRPr="00A846A0" w:rsidRDefault="00366336" w:rsidP="0036633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846A0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положень ст. 4 Закону України «</w:t>
      </w:r>
      <w:r w:rsidRPr="00A846A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Про засади державної регуляторної політики у сфері господарської діяльності», одними із принципів </w:t>
      </w:r>
      <w:r w:rsidRPr="00A846A0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регуляторної політики є ефективність і збалансованість, що передбачають за собою, відповідно, забезпечення досягнення внаслідок дії регуляторного </w:t>
      </w:r>
      <w:proofErr w:type="spellStart"/>
      <w:r w:rsidRPr="00A846A0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A846A0">
        <w:rPr>
          <w:rFonts w:ascii="Times New Roman" w:hAnsi="Times New Roman" w:cs="Times New Roman"/>
          <w:sz w:val="24"/>
          <w:szCs w:val="24"/>
          <w:lang w:val="uk-UA"/>
        </w:rPr>
        <w:t xml:space="preserve"> максимально можливих позитивних результатів за рахунок мінімально необхідних витрат ресурсів  суб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A846A0">
        <w:rPr>
          <w:rFonts w:ascii="Times New Roman" w:hAnsi="Times New Roman" w:cs="Times New Roman"/>
          <w:sz w:val="24"/>
          <w:szCs w:val="24"/>
          <w:lang w:val="uk-UA"/>
        </w:rPr>
        <w:t>єктів господарювання, громадян та держави та забезпечення  у  регуляторній  діяльності балансу інтересів суб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A846A0">
        <w:rPr>
          <w:rFonts w:ascii="Times New Roman" w:hAnsi="Times New Roman" w:cs="Times New Roman"/>
          <w:sz w:val="24"/>
          <w:szCs w:val="24"/>
          <w:lang w:val="uk-UA"/>
        </w:rPr>
        <w:t>єктів господарювання, громадян та держави.</w:t>
      </w:r>
    </w:p>
    <w:p w:rsidR="00366336" w:rsidRPr="00A846A0" w:rsidRDefault="00366336" w:rsidP="00366336">
      <w:pPr>
        <w:pStyle w:val="HTML"/>
        <w:shd w:val="clear" w:color="auto" w:fill="FFFFFF"/>
        <w:jc w:val="both"/>
        <w:textAlignment w:val="baseline"/>
        <w:rPr>
          <w:lang w:val="uk-UA"/>
        </w:rPr>
      </w:pPr>
      <w:r w:rsidRPr="00A846A0">
        <w:rPr>
          <w:lang w:val="uk-UA"/>
        </w:rPr>
        <w:tab/>
      </w:r>
    </w:p>
    <w:p w:rsidR="00366336" w:rsidRPr="003669EC" w:rsidRDefault="00366336" w:rsidP="00366336">
      <w:pPr>
        <w:ind w:right="43" w:firstLine="993"/>
        <w:jc w:val="both"/>
        <w:rPr>
          <w:lang w:val="uk-UA"/>
        </w:rPr>
      </w:pPr>
      <w:r>
        <w:rPr>
          <w:bCs/>
          <w:iCs/>
          <w:lang w:val="uk-UA"/>
        </w:rPr>
        <w:t>Проєкт рішення Южноукраїнської міської ради «</w:t>
      </w:r>
      <w:r>
        <w:rPr>
          <w:color w:val="000000"/>
          <w:lang w:val="uk-UA"/>
        </w:rPr>
        <w:t xml:space="preserve">Про втрату чинності рішення Южноукраїнської міської ради від 12.10.2009 №1104 «Про затвердження Концепції розвитку ринків м. Южноукраїнська» розроблений з метою </w:t>
      </w:r>
      <w:r w:rsidRPr="003669EC">
        <w:rPr>
          <w:color w:val="000000"/>
          <w:lang w:val="uk-UA"/>
        </w:rPr>
        <w:t>п</w:t>
      </w:r>
      <w:r w:rsidRPr="003669EC">
        <w:rPr>
          <w:lang w:val="uk-UA"/>
        </w:rPr>
        <w:t xml:space="preserve">риведення до норм чинного законодавства України та на підставі протоколу </w:t>
      </w:r>
      <w:r>
        <w:rPr>
          <w:lang w:val="uk-UA"/>
        </w:rPr>
        <w:t>№</w:t>
      </w:r>
      <w:r w:rsidRPr="003669EC">
        <w:rPr>
          <w:lang w:val="uk-UA"/>
        </w:rPr>
        <w:t>1 від 16.04.2024 робочої групи з питань прискореного перегляду регуляторних актів, прийнятих органам місцевого самоврядування, затвердженої розпорядженням міського голови від 20.03.2024 №77-р.</w:t>
      </w:r>
    </w:p>
    <w:p w:rsidR="00366336" w:rsidRPr="00A846A0" w:rsidRDefault="00366336" w:rsidP="00366336">
      <w:pPr>
        <w:ind w:right="43"/>
        <w:jc w:val="both"/>
        <w:rPr>
          <w:iCs/>
          <w:lang w:val="uk-UA"/>
        </w:rPr>
      </w:pPr>
    </w:p>
    <w:p w:rsidR="00366336" w:rsidRPr="00F90A3F" w:rsidRDefault="00366336" w:rsidP="00366336">
      <w:pPr>
        <w:ind w:firstLine="708"/>
        <w:jc w:val="both"/>
      </w:pPr>
      <w:r w:rsidRPr="00F90A3F">
        <w:t>В</w:t>
      </w:r>
      <w:r>
        <w:rPr>
          <w:lang w:val="uk-UA"/>
        </w:rPr>
        <w:t>ИЗНАЧЕННЯ ПРОБЛЕМИ, ЯКУ ПЕРЕДБАЧАЄТЬСЯ РОЗВ'ЯЗАТИ ШЛЯХОМ ДЕРЖАВНОГО РЕГУЛЮВАННЯ</w:t>
      </w:r>
    </w:p>
    <w:p w:rsidR="00366336" w:rsidRPr="00F90A3F" w:rsidRDefault="00366336" w:rsidP="00366336">
      <w:pPr>
        <w:ind w:right="43"/>
        <w:jc w:val="center"/>
      </w:pPr>
    </w:p>
    <w:p w:rsidR="00366336" w:rsidRPr="009C6C0A" w:rsidRDefault="00366336" w:rsidP="00366336">
      <w:pPr>
        <w:ind w:firstLine="993"/>
        <w:contextualSpacing/>
        <w:jc w:val="both"/>
        <w:rPr>
          <w:shd w:val="clear" w:color="auto" w:fill="FFFFFF"/>
          <w:lang w:val="uk-UA"/>
        </w:rPr>
      </w:pPr>
      <w:r>
        <w:rPr>
          <w:iCs/>
          <w:lang w:val="uk-UA"/>
        </w:rPr>
        <w:t xml:space="preserve">Відповідно до ст. 26, 30 Закону України «Про місцеве самоврядування в Україні» визначено, що до компетенції органів місцевого самоврядування входить встановлення відповідно до законодавства правил </w:t>
      </w:r>
      <w:r w:rsidRPr="009C6C0A">
        <w:rPr>
          <w:iCs/>
          <w:lang w:val="uk-UA"/>
        </w:rPr>
        <w:t xml:space="preserve">з </w:t>
      </w:r>
      <w:r w:rsidRPr="009C6C0A">
        <w:rPr>
          <w:shd w:val="clear" w:color="auto" w:fill="FFFFFF"/>
          <w:lang w:val="uk-UA"/>
        </w:rPr>
        <w:t>питань благоустрою території </w:t>
      </w:r>
      <w:bookmarkStart w:id="0" w:name="w3_1"/>
      <w:r w:rsidRPr="00A61C96">
        <w:rPr>
          <w:lang w:val="uk-UA"/>
        </w:rPr>
        <w:fldChar w:fldCharType="begin"/>
      </w:r>
      <w:r w:rsidRPr="00A61C96">
        <w:rPr>
          <w:lang w:val="uk-UA"/>
        </w:rPr>
        <w:instrText xml:space="preserve"> HYPERLINK "https://zakon.rada.gov.ua/laws/show/280/97-%D0%B2%D1%80?find=1&amp;text=%D0%BF%D1%80%D0%B0%D0%B2%D0%B8%D0%BB+%D1%82%D0%BE%D1%80%D0%B3%D1%96%D0%B2%D0%BB%D1%96+%D0%BD%D0%B0+%D1%80%D0%B8%D0%BD%D0%BA%D0%B0%D1%85" \l "w3_2" </w:instrText>
      </w:r>
      <w:r w:rsidRPr="00A61C96">
        <w:rPr>
          <w:lang w:val="uk-UA"/>
        </w:rPr>
        <w:fldChar w:fldCharType="separate"/>
      </w:r>
      <w:r w:rsidRPr="00A61C96">
        <w:rPr>
          <w:rStyle w:val="a9"/>
          <w:lang w:val="uk-UA"/>
        </w:rPr>
        <w:t>на</w:t>
      </w:r>
      <w:r w:rsidRPr="00A61C96">
        <w:rPr>
          <w:lang w:val="uk-UA"/>
        </w:rPr>
        <w:fldChar w:fldCharType="end"/>
      </w:r>
      <w:bookmarkEnd w:id="0"/>
      <w:r w:rsidRPr="00A61C96">
        <w:rPr>
          <w:lang w:val="uk-UA"/>
        </w:rPr>
        <w:t>с</w:t>
      </w:r>
      <w:r w:rsidRPr="00A61C96">
        <w:rPr>
          <w:shd w:val="clear" w:color="auto" w:fill="FFFFFF"/>
          <w:lang w:val="uk-UA"/>
        </w:rPr>
        <w:t>еленого пункту, забезпечення в ньому чистоти і порядку, </w:t>
      </w:r>
      <w:bookmarkStart w:id="1" w:name="w2_1"/>
      <w:r w:rsidRPr="00A61C96">
        <w:rPr>
          <w:lang w:val="uk-UA"/>
        </w:rPr>
        <w:fldChar w:fldCharType="begin"/>
      </w:r>
      <w:r w:rsidRPr="00A61C96">
        <w:rPr>
          <w:lang w:val="uk-UA"/>
        </w:rPr>
        <w:instrText xml:space="preserve"> HYPERLINK "https://zakon.rada.gov.ua/laws/show/280/97-%D0%B2%D1%80?find=1&amp;text=%D0%BF%D1%80%D0%B0%D0%B2%D0%B8%D0%BB+%D1%82%D0%BE%D1%80%D0%B3%D1%96%D0%B2%D0%BB%D1%96+%D0%BD%D0%B0+%D1%80%D0%B8%D0%BD%D0%BA%D0%B0%D1%85" \l "w2_2" </w:instrText>
      </w:r>
      <w:r w:rsidRPr="00A61C96">
        <w:rPr>
          <w:lang w:val="uk-UA"/>
        </w:rPr>
        <w:fldChar w:fldCharType="separate"/>
      </w:r>
      <w:r w:rsidRPr="00A61C96">
        <w:rPr>
          <w:rStyle w:val="a9"/>
          <w:lang w:val="uk-UA"/>
        </w:rPr>
        <w:t>торгівлі</w:t>
      </w:r>
      <w:r w:rsidRPr="00A61C96">
        <w:rPr>
          <w:lang w:val="uk-UA"/>
        </w:rPr>
        <w:fldChar w:fldCharType="end"/>
      </w:r>
      <w:bookmarkEnd w:id="1"/>
      <w:r w:rsidRPr="00A61C96">
        <w:rPr>
          <w:lang w:val="uk-UA"/>
        </w:rPr>
        <w:t> </w:t>
      </w:r>
      <w:bookmarkStart w:id="2" w:name="w3_2"/>
      <w:r w:rsidRPr="00A61C96">
        <w:rPr>
          <w:lang w:val="uk-UA"/>
        </w:rPr>
        <w:fldChar w:fldCharType="begin"/>
      </w:r>
      <w:r w:rsidRPr="00A61C96">
        <w:rPr>
          <w:lang w:val="uk-UA"/>
        </w:rPr>
        <w:instrText xml:space="preserve"> HYPERLINK "https://zakon.rada.gov.ua/laws/show/280/97-%D0%B2%D1%80?find=1&amp;text=%D0%BF%D1%80%D0%B0%D0%B2%D0%B8%D0%BB+%D1%82%D0%BE%D1%80%D0%B3%D1%96%D0%B2%D0%BB%D1%96+%D0%BD%D0%B0+%D1%80%D0%B8%D0%BD%D0%BA%D0%B0%D1%85" \l "w3_3" </w:instrText>
      </w:r>
      <w:r w:rsidRPr="00A61C96">
        <w:rPr>
          <w:lang w:val="uk-UA"/>
        </w:rPr>
        <w:fldChar w:fldCharType="separate"/>
      </w:r>
      <w:r w:rsidRPr="00A61C96">
        <w:rPr>
          <w:rStyle w:val="a9"/>
          <w:lang w:val="uk-UA"/>
        </w:rPr>
        <w:t>на</w:t>
      </w:r>
      <w:r w:rsidRPr="00A61C96">
        <w:rPr>
          <w:lang w:val="uk-UA"/>
        </w:rPr>
        <w:fldChar w:fldCharType="end"/>
      </w:r>
      <w:bookmarkEnd w:id="2"/>
      <w:r w:rsidRPr="00A61C96">
        <w:rPr>
          <w:lang w:val="uk-UA"/>
        </w:rPr>
        <w:t> </w:t>
      </w:r>
      <w:bookmarkStart w:id="3" w:name="w4_1"/>
      <w:r w:rsidRPr="00A61C96">
        <w:rPr>
          <w:lang w:val="uk-UA"/>
        </w:rPr>
        <w:fldChar w:fldCharType="begin"/>
      </w:r>
      <w:r w:rsidRPr="00A61C96">
        <w:rPr>
          <w:lang w:val="uk-UA"/>
        </w:rPr>
        <w:instrText xml:space="preserve"> HYPERLINK "https://zakon.rada.gov.ua/laws/show/280/97-%D0%B2%D1%80?find=1&amp;text=%D0%BF%D1%80%D0%B0%D0%B2%D0%B8%D0%BB+%D1%82%D0%BE%D1%80%D0%B3%D1%96%D0%B2%D0%BB%D1%96+%D0%BD%D0%B0+%D1%80%D0%B8%D0%BD%D0%BA%D0%B0%D1%85" \l "w4_2" </w:instrText>
      </w:r>
      <w:r w:rsidRPr="00A61C96">
        <w:rPr>
          <w:lang w:val="uk-UA"/>
        </w:rPr>
        <w:fldChar w:fldCharType="separate"/>
      </w:r>
      <w:r w:rsidRPr="00A61C96">
        <w:rPr>
          <w:rStyle w:val="a9"/>
          <w:lang w:val="uk-UA"/>
        </w:rPr>
        <w:t>ринках</w:t>
      </w:r>
      <w:r w:rsidRPr="00A61C96">
        <w:rPr>
          <w:lang w:val="uk-UA"/>
        </w:rPr>
        <w:fldChar w:fldCharType="end"/>
      </w:r>
      <w:bookmarkEnd w:id="3"/>
      <w:r w:rsidRPr="00A61C96">
        <w:rPr>
          <w:shd w:val="clear" w:color="auto" w:fill="FFFFFF"/>
          <w:lang w:val="uk-UA"/>
        </w:rPr>
        <w:t xml:space="preserve">, </w:t>
      </w:r>
      <w:r w:rsidRPr="009C6C0A">
        <w:rPr>
          <w:shd w:val="clear" w:color="auto" w:fill="FFFFFF"/>
          <w:lang w:val="uk-UA"/>
        </w:rPr>
        <w:t>додержання тиші в громадських місцях, за порушення яких передбачено адміністративну відповідальність</w:t>
      </w:r>
      <w:r>
        <w:rPr>
          <w:shd w:val="clear" w:color="auto" w:fill="FFFFFF"/>
          <w:lang w:val="uk-UA"/>
        </w:rPr>
        <w:t xml:space="preserve">, а також, </w:t>
      </w:r>
      <w:r w:rsidRPr="00D34EF1">
        <w:rPr>
          <w:lang w:val="uk-UA"/>
        </w:rPr>
        <w:t>в межах повноважень визначених законодавством</w:t>
      </w:r>
      <w:r w:rsidRPr="00A85AF5">
        <w:rPr>
          <w:shd w:val="clear" w:color="auto" w:fill="FFFFFF"/>
          <w:lang w:val="uk-UA"/>
        </w:rPr>
        <w:t xml:space="preserve"> організ</w:t>
      </w:r>
      <w:r>
        <w:rPr>
          <w:shd w:val="clear" w:color="auto" w:fill="FFFFFF"/>
          <w:lang w:val="uk-UA"/>
        </w:rPr>
        <w:t>овують</w:t>
      </w:r>
      <w:r w:rsidRPr="00A85AF5">
        <w:rPr>
          <w:shd w:val="clear" w:color="auto" w:fill="FFFFFF"/>
          <w:lang w:val="uk-UA"/>
        </w:rPr>
        <w:t xml:space="preserve"> місцев</w:t>
      </w:r>
      <w:r>
        <w:rPr>
          <w:shd w:val="clear" w:color="auto" w:fill="FFFFFF"/>
          <w:lang w:val="uk-UA"/>
        </w:rPr>
        <w:t>і</w:t>
      </w:r>
      <w:r w:rsidRPr="00A85AF5">
        <w:rPr>
          <w:shd w:val="clear" w:color="auto" w:fill="FFFFFF"/>
          <w:lang w:val="uk-UA"/>
        </w:rPr>
        <w:t xml:space="preserve"> ринк</w:t>
      </w:r>
      <w:r>
        <w:rPr>
          <w:shd w:val="clear" w:color="auto" w:fill="FFFFFF"/>
          <w:lang w:val="uk-UA"/>
        </w:rPr>
        <w:t>и</w:t>
      </w:r>
      <w:r w:rsidRPr="00A85AF5">
        <w:rPr>
          <w:shd w:val="clear" w:color="auto" w:fill="FFFFFF"/>
          <w:lang w:val="uk-UA"/>
        </w:rPr>
        <w:t>, ярмарк</w:t>
      </w:r>
      <w:r>
        <w:rPr>
          <w:shd w:val="clear" w:color="auto" w:fill="FFFFFF"/>
          <w:lang w:val="uk-UA"/>
        </w:rPr>
        <w:t>и</w:t>
      </w:r>
      <w:r w:rsidRPr="00A85AF5">
        <w:rPr>
          <w:shd w:val="clear" w:color="auto" w:fill="FFFFFF"/>
          <w:lang w:val="uk-UA"/>
        </w:rPr>
        <w:t>, сприя</w:t>
      </w:r>
      <w:r>
        <w:rPr>
          <w:shd w:val="clear" w:color="auto" w:fill="FFFFFF"/>
          <w:lang w:val="uk-UA"/>
        </w:rPr>
        <w:t>ють</w:t>
      </w:r>
      <w:r w:rsidRPr="00A85AF5">
        <w:rPr>
          <w:shd w:val="clear" w:color="auto" w:fill="FFFFFF"/>
          <w:lang w:val="uk-UA"/>
        </w:rPr>
        <w:t xml:space="preserve"> розвитку всіх форм торгівлі.</w:t>
      </w:r>
      <w:r>
        <w:rPr>
          <w:shd w:val="clear" w:color="auto" w:fill="FFFFFF"/>
          <w:lang w:val="uk-UA"/>
        </w:rPr>
        <w:t xml:space="preserve"> При цьому, визначення вимог до розвитку продовольчих та непродовольчих, змішаних ринків не передбачено повноважень жодним нормативним актом чинного законодавства України.</w:t>
      </w:r>
    </w:p>
    <w:p w:rsidR="00366336" w:rsidRDefault="00366336" w:rsidP="00366336">
      <w:pPr>
        <w:ind w:firstLine="993"/>
        <w:contextualSpacing/>
        <w:jc w:val="both"/>
        <w:rPr>
          <w:iCs/>
          <w:lang w:val="uk-UA"/>
        </w:rPr>
      </w:pPr>
      <w:r w:rsidRPr="00A86B2E">
        <w:rPr>
          <w:iCs/>
          <w:lang w:val="uk-UA"/>
        </w:rPr>
        <w:lastRenderedPageBreak/>
        <w:t>Постановою Кабінету Міністрів України від 13.12.2001 №1662 схвалено Концепцію вдосконалення функціонування ринків з продажу продовольчих та непродовольчих товарів, якою визначено шляхи розвитку ринків у перехідний період</w:t>
      </w:r>
      <w:r>
        <w:rPr>
          <w:iCs/>
          <w:lang w:val="uk-UA"/>
        </w:rPr>
        <w:t xml:space="preserve"> (більше 20 років тому)</w:t>
      </w:r>
      <w:r w:rsidRPr="00A86B2E">
        <w:rPr>
          <w:iCs/>
          <w:lang w:val="uk-UA"/>
        </w:rPr>
        <w:t xml:space="preserve">. </w:t>
      </w:r>
    </w:p>
    <w:p w:rsidR="00366336" w:rsidRDefault="00366336" w:rsidP="00366336">
      <w:pPr>
        <w:ind w:firstLine="993"/>
        <w:contextualSpacing/>
        <w:jc w:val="both"/>
        <w:rPr>
          <w:iCs/>
          <w:lang w:val="uk-UA"/>
        </w:rPr>
      </w:pPr>
      <w:r w:rsidRPr="00A86B2E">
        <w:rPr>
          <w:iCs/>
          <w:lang w:val="uk-UA"/>
        </w:rPr>
        <w:t xml:space="preserve">Рішенням Южноукраїнської міської ради </w:t>
      </w:r>
      <w:r>
        <w:rPr>
          <w:iCs/>
          <w:lang w:val="uk-UA"/>
        </w:rPr>
        <w:t xml:space="preserve">від 12.10.2009 №1104 </w:t>
      </w:r>
      <w:r w:rsidRPr="00A86B2E">
        <w:rPr>
          <w:iCs/>
          <w:lang w:val="uk-UA"/>
        </w:rPr>
        <w:t>затверджено Концепцію розвитку ринків м. Южноукраїнська, яка не відповідає Концепції, затвердженій постанов</w:t>
      </w:r>
      <w:r>
        <w:rPr>
          <w:iCs/>
          <w:lang w:val="uk-UA"/>
        </w:rPr>
        <w:t>ою</w:t>
      </w:r>
      <w:r w:rsidRPr="00A86B2E">
        <w:rPr>
          <w:iCs/>
          <w:lang w:val="uk-UA"/>
        </w:rPr>
        <w:t xml:space="preserve"> Кабінету Міністрів України від 13.12.2001 №1662.</w:t>
      </w:r>
      <w:r>
        <w:rPr>
          <w:iCs/>
          <w:lang w:val="uk-UA"/>
        </w:rPr>
        <w:t xml:space="preserve"> При цьому, рішення </w:t>
      </w:r>
      <w:r w:rsidRPr="00A86B2E">
        <w:rPr>
          <w:iCs/>
          <w:lang w:val="uk-UA"/>
        </w:rPr>
        <w:t xml:space="preserve">Южноукраїнської міської ради </w:t>
      </w:r>
      <w:r>
        <w:rPr>
          <w:iCs/>
          <w:lang w:val="uk-UA"/>
        </w:rPr>
        <w:t>від 12.10.2009 №1104 частково дублює Правила торгівлі на ринках м. Южноукраїнська, затверджені рішенням Южноукраїнської міської ради від 12.10.2009 №1105.</w:t>
      </w:r>
    </w:p>
    <w:p w:rsidR="00366336" w:rsidRDefault="00366336" w:rsidP="00366336">
      <w:pPr>
        <w:ind w:firstLine="993"/>
        <w:contextualSpacing/>
        <w:jc w:val="both"/>
        <w:rPr>
          <w:iCs/>
          <w:lang w:val="uk-UA"/>
        </w:rPr>
      </w:pPr>
      <w:r w:rsidRPr="00153DCB">
        <w:rPr>
          <w:b/>
          <w:bCs/>
          <w:iCs/>
          <w:lang w:val="uk-UA"/>
        </w:rPr>
        <w:t>П. 5.6-5.</w:t>
      </w:r>
      <w:r>
        <w:rPr>
          <w:b/>
          <w:bCs/>
          <w:iCs/>
          <w:lang w:val="uk-UA"/>
        </w:rPr>
        <w:t xml:space="preserve">10 </w:t>
      </w:r>
      <w:r w:rsidRPr="00A86B2E">
        <w:rPr>
          <w:iCs/>
          <w:lang w:val="uk-UA"/>
        </w:rPr>
        <w:t>Концепці</w:t>
      </w:r>
      <w:r>
        <w:rPr>
          <w:iCs/>
          <w:lang w:val="uk-UA"/>
        </w:rPr>
        <w:t>ї</w:t>
      </w:r>
      <w:r w:rsidRPr="00A86B2E">
        <w:rPr>
          <w:iCs/>
          <w:lang w:val="uk-UA"/>
        </w:rPr>
        <w:t xml:space="preserve"> розвитку ринків м. Южноукраїнська</w:t>
      </w:r>
      <w:r>
        <w:rPr>
          <w:iCs/>
          <w:lang w:val="uk-UA"/>
        </w:rPr>
        <w:t xml:space="preserve"> суперечать нормам діючого законодавства України та </w:t>
      </w:r>
      <w:r w:rsidRPr="0093664C">
        <w:rPr>
          <w:lang w:val="uk-UA"/>
        </w:rPr>
        <w:t>створю</w:t>
      </w:r>
      <w:r>
        <w:rPr>
          <w:lang w:val="uk-UA"/>
        </w:rPr>
        <w:t>ють</w:t>
      </w:r>
      <w:r w:rsidRPr="0093664C">
        <w:rPr>
          <w:lang w:val="uk-UA"/>
        </w:rPr>
        <w:t xml:space="preserve"> </w:t>
      </w:r>
      <w:proofErr w:type="spellStart"/>
      <w:r w:rsidRPr="0093664C">
        <w:rPr>
          <w:lang w:val="uk-UA"/>
        </w:rPr>
        <w:t>антиконкурентні</w:t>
      </w:r>
      <w:proofErr w:type="spellEnd"/>
      <w:r w:rsidRPr="0093664C">
        <w:rPr>
          <w:lang w:val="uk-UA"/>
        </w:rPr>
        <w:t xml:space="preserve"> умови серед суб’єктів господарювання</w:t>
      </w:r>
      <w:r>
        <w:rPr>
          <w:iCs/>
          <w:lang w:val="uk-UA"/>
        </w:rPr>
        <w:t xml:space="preserve">, а саме: </w:t>
      </w:r>
    </w:p>
    <w:p w:rsidR="00366336" w:rsidRDefault="00366336" w:rsidP="00366336">
      <w:pPr>
        <w:ind w:firstLine="993"/>
        <w:contextualSpacing/>
        <w:jc w:val="both"/>
        <w:rPr>
          <w:iCs/>
          <w:lang w:val="uk-UA"/>
        </w:rPr>
      </w:pPr>
      <w:r>
        <w:rPr>
          <w:iCs/>
          <w:lang w:val="uk-UA"/>
        </w:rPr>
        <w:t>1. Д</w:t>
      </w:r>
      <w:r w:rsidRPr="006F5EB4">
        <w:rPr>
          <w:lang w:val="uk-UA"/>
        </w:rPr>
        <w:t>ля розміщення на території ринку кожної малої архітектурної форми необхідно мати рішення міської ради щодо її розміщення</w:t>
      </w:r>
      <w:r>
        <w:rPr>
          <w:lang w:val="uk-UA"/>
        </w:rPr>
        <w:t>, що суперечить п. 1.6 наказу Міністерства регіонального розвитку, будівництва та житлово-комунального господарства</w:t>
      </w:r>
      <w:r w:rsidRPr="006F5EB4">
        <w:rPr>
          <w:iCs/>
          <w:lang w:val="uk-UA"/>
        </w:rPr>
        <w:t xml:space="preserve"> </w:t>
      </w:r>
      <w:r>
        <w:rPr>
          <w:iCs/>
          <w:lang w:val="uk-UA"/>
        </w:rPr>
        <w:t xml:space="preserve">України від 21.10.2011 №244 «Про затвердження Порядку розміщення тимчасових споруд для впровадження підприємницької діяльності», а саме: розміщення тимчасових споруд у межах ринків, інших торговельних об’єктів визначається планувальною документацією їх території або </w:t>
      </w:r>
      <w:proofErr w:type="spellStart"/>
      <w:r>
        <w:rPr>
          <w:iCs/>
          <w:lang w:val="uk-UA"/>
        </w:rPr>
        <w:t>проєктною</w:t>
      </w:r>
      <w:proofErr w:type="spellEnd"/>
      <w:r>
        <w:rPr>
          <w:iCs/>
          <w:lang w:val="uk-UA"/>
        </w:rPr>
        <w:t xml:space="preserve"> документацією їх споруд.</w:t>
      </w:r>
    </w:p>
    <w:p w:rsidR="00366336" w:rsidRPr="009B1FF5" w:rsidRDefault="00366336" w:rsidP="00366336">
      <w:pPr>
        <w:ind w:firstLine="708"/>
        <w:jc w:val="both"/>
        <w:rPr>
          <w:iCs/>
          <w:lang w:val="uk-UA"/>
        </w:rPr>
      </w:pPr>
      <w:r>
        <w:rPr>
          <w:iCs/>
          <w:lang w:val="uk-UA"/>
        </w:rPr>
        <w:t xml:space="preserve">2. </w:t>
      </w:r>
      <w:r w:rsidRPr="00E93D3E">
        <w:rPr>
          <w:b/>
          <w:bCs/>
          <w:iCs/>
          <w:lang w:val="uk-UA"/>
        </w:rPr>
        <w:t>п. 5.10</w:t>
      </w:r>
      <w:r>
        <w:rPr>
          <w:iCs/>
          <w:lang w:val="uk-UA"/>
        </w:rPr>
        <w:t xml:space="preserve"> </w:t>
      </w:r>
      <w:r w:rsidRPr="00A86B2E">
        <w:rPr>
          <w:iCs/>
          <w:lang w:val="uk-UA"/>
        </w:rPr>
        <w:t>Концепці</w:t>
      </w:r>
      <w:r>
        <w:rPr>
          <w:iCs/>
          <w:lang w:val="uk-UA"/>
        </w:rPr>
        <w:t>ї</w:t>
      </w:r>
      <w:r w:rsidRPr="00A86B2E">
        <w:rPr>
          <w:iCs/>
          <w:lang w:val="uk-UA"/>
        </w:rPr>
        <w:t xml:space="preserve"> розвитку ринків м. Южноукраїнська</w:t>
      </w:r>
      <w:r>
        <w:rPr>
          <w:iCs/>
          <w:lang w:val="uk-UA"/>
        </w:rPr>
        <w:t xml:space="preserve">, визначено, що </w:t>
      </w:r>
      <w:r>
        <w:rPr>
          <w:lang w:val="uk-UA"/>
        </w:rPr>
        <w:t>у</w:t>
      </w:r>
      <w:r w:rsidRPr="00CA0F06">
        <w:rPr>
          <w:lang w:val="uk-UA"/>
        </w:rPr>
        <w:t>год</w:t>
      </w:r>
      <w:r>
        <w:rPr>
          <w:lang w:val="uk-UA"/>
        </w:rPr>
        <w:t>и</w:t>
      </w:r>
      <w:r w:rsidRPr="00CA0F06">
        <w:rPr>
          <w:lang w:val="uk-UA"/>
        </w:rPr>
        <w:t xml:space="preserve"> оренди торгових приміщень (площ) із включенням послуг з їх обслуговування укладається згідно</w:t>
      </w:r>
      <w:r>
        <w:rPr>
          <w:lang w:val="uk-UA"/>
        </w:rPr>
        <w:t xml:space="preserve"> з</w:t>
      </w:r>
      <w:r w:rsidRPr="00CA0F06">
        <w:rPr>
          <w:lang w:val="uk-UA"/>
        </w:rPr>
        <w:t xml:space="preserve"> примірн</w:t>
      </w:r>
      <w:r>
        <w:rPr>
          <w:lang w:val="uk-UA"/>
        </w:rPr>
        <w:t xml:space="preserve">им </w:t>
      </w:r>
      <w:r w:rsidRPr="00CA0F06">
        <w:rPr>
          <w:lang w:val="uk-UA"/>
        </w:rPr>
        <w:t>(типов</w:t>
      </w:r>
      <w:r>
        <w:rPr>
          <w:lang w:val="uk-UA"/>
        </w:rPr>
        <w:t>им</w:t>
      </w:r>
      <w:r w:rsidRPr="00CA0F06">
        <w:rPr>
          <w:lang w:val="uk-UA"/>
        </w:rPr>
        <w:t>) договор</w:t>
      </w:r>
      <w:r>
        <w:rPr>
          <w:lang w:val="uk-UA"/>
        </w:rPr>
        <w:t>ом</w:t>
      </w:r>
      <w:r w:rsidRPr="00CA0F06">
        <w:rPr>
          <w:lang w:val="uk-UA"/>
        </w:rPr>
        <w:t xml:space="preserve"> оренди торгових приміщень (площ) у торговельних об’єктах, на ринках з продажу продовольчих та непродовольчих товарів, затверджен</w:t>
      </w:r>
      <w:r>
        <w:rPr>
          <w:lang w:val="uk-UA"/>
        </w:rPr>
        <w:t>им</w:t>
      </w:r>
      <w:r w:rsidRPr="00CA0F06">
        <w:rPr>
          <w:lang w:val="uk-UA"/>
        </w:rPr>
        <w:t xml:space="preserve"> постановою Кабінету Міністрів України або органами місцевого самоврядування. </w:t>
      </w:r>
      <w:r>
        <w:rPr>
          <w:lang w:val="uk-UA"/>
        </w:rPr>
        <w:t>При цьому, п</w:t>
      </w:r>
      <w:r w:rsidRPr="00A86B2E">
        <w:rPr>
          <w:iCs/>
          <w:lang w:val="uk-UA"/>
        </w:rPr>
        <w:t>останова Кабінету Міністрів України від 05.03.2009 №278 «Про заходи щодо стабілізації цін за надання послуг та оренду торгових приміщень (площ) у торговельних об’єктах, на ринках з продажу продовольчих та непродовольчих товарів в умовах фінансово-економічної кризи»</w:t>
      </w:r>
      <w:r>
        <w:rPr>
          <w:iCs/>
          <w:lang w:val="uk-UA"/>
        </w:rPr>
        <w:t xml:space="preserve">, якою визначено </w:t>
      </w:r>
      <w:r w:rsidRPr="00CA0F06">
        <w:rPr>
          <w:lang w:val="uk-UA"/>
        </w:rPr>
        <w:t>примірн</w:t>
      </w:r>
      <w:r>
        <w:rPr>
          <w:lang w:val="uk-UA"/>
        </w:rPr>
        <w:t>ий</w:t>
      </w:r>
      <w:r w:rsidRPr="00CA0F06">
        <w:rPr>
          <w:lang w:val="uk-UA"/>
        </w:rPr>
        <w:t xml:space="preserve"> (типов</w:t>
      </w:r>
      <w:r>
        <w:rPr>
          <w:lang w:val="uk-UA"/>
        </w:rPr>
        <w:t>ий</w:t>
      </w:r>
      <w:r w:rsidRPr="00CA0F06">
        <w:rPr>
          <w:lang w:val="uk-UA"/>
        </w:rPr>
        <w:t>) догов</w:t>
      </w:r>
      <w:r>
        <w:rPr>
          <w:lang w:val="uk-UA"/>
        </w:rPr>
        <w:t>ір</w:t>
      </w:r>
      <w:r w:rsidRPr="00CA0F06">
        <w:rPr>
          <w:lang w:val="uk-UA"/>
        </w:rPr>
        <w:t xml:space="preserve"> оренди торгових приміщень (площ) у торговельних об’єктах, на ринках з продажу продовольчих та непродовольчих това</w:t>
      </w:r>
      <w:r w:rsidRPr="009B1FF5">
        <w:rPr>
          <w:lang w:val="uk-UA"/>
        </w:rPr>
        <w:t>рів</w:t>
      </w:r>
      <w:r w:rsidRPr="009B1FF5">
        <w:rPr>
          <w:iCs/>
          <w:lang w:val="uk-UA"/>
        </w:rPr>
        <w:t xml:space="preserve"> - </w:t>
      </w:r>
      <w:r w:rsidRPr="009B1FF5">
        <w:rPr>
          <w:iCs/>
          <w:u w:val="single"/>
          <w:lang w:val="uk-UA"/>
        </w:rPr>
        <w:t>втратила чинність.</w:t>
      </w:r>
      <w:r w:rsidRPr="009B1FF5">
        <w:rPr>
          <w:b/>
          <w:bCs/>
          <w:iCs/>
          <w:lang w:val="uk-UA"/>
        </w:rPr>
        <w:t xml:space="preserve"> </w:t>
      </w:r>
    </w:p>
    <w:p w:rsidR="00366336" w:rsidRPr="009B1FF5" w:rsidRDefault="00366336" w:rsidP="00366336">
      <w:pPr>
        <w:ind w:firstLine="993"/>
        <w:jc w:val="both"/>
        <w:rPr>
          <w:lang w:val="uk-UA"/>
        </w:rPr>
      </w:pPr>
      <w:r>
        <w:rPr>
          <w:iCs/>
          <w:lang w:val="uk-UA"/>
        </w:rPr>
        <w:t xml:space="preserve">3. Положення </w:t>
      </w:r>
      <w:r w:rsidRPr="003669EC">
        <w:rPr>
          <w:b/>
          <w:bCs/>
          <w:iCs/>
          <w:lang w:val="uk-UA"/>
        </w:rPr>
        <w:t>Розділ</w:t>
      </w:r>
      <w:r>
        <w:rPr>
          <w:b/>
          <w:bCs/>
          <w:iCs/>
          <w:lang w:val="uk-UA"/>
        </w:rPr>
        <w:t>у</w:t>
      </w:r>
      <w:r w:rsidRPr="003669EC">
        <w:rPr>
          <w:b/>
          <w:bCs/>
          <w:iCs/>
          <w:lang w:val="uk-UA"/>
        </w:rPr>
        <w:t xml:space="preserve"> 6</w:t>
      </w:r>
      <w:r>
        <w:rPr>
          <w:iCs/>
          <w:lang w:val="uk-UA"/>
        </w:rPr>
        <w:t xml:space="preserve"> Концепції розвитку ринків м. Южноукраїнська у 2009 році було передбачено виконання функцій </w:t>
      </w:r>
      <w:r w:rsidRPr="009B1FF5">
        <w:rPr>
          <w:lang w:val="uk-UA"/>
        </w:rPr>
        <w:t xml:space="preserve">врегулювання існуючих конфліктних ситуацій між підприємствами, які утримують та експлуатують ринки та продавцями, які здійснюють торгівлю на ринках міста Южноукраїнська, зокрема, ситуації, які виникли у 2009 році в перехідний період розвитку ринків, в процесі оформлення документів на розміщення малих архітектурних форм на території міських ринків за власні кошти суб’єктами господарювання. </w:t>
      </w:r>
    </w:p>
    <w:p w:rsidR="00366336" w:rsidRPr="00532A82" w:rsidRDefault="00366336" w:rsidP="00366336">
      <w:pPr>
        <w:ind w:firstLine="993"/>
        <w:contextualSpacing/>
        <w:jc w:val="both"/>
        <w:rPr>
          <w:iCs/>
          <w:lang w:val="uk-UA"/>
        </w:rPr>
      </w:pPr>
      <w:r w:rsidRPr="00532A82">
        <w:rPr>
          <w:iCs/>
          <w:lang w:val="uk-UA"/>
        </w:rPr>
        <w:t xml:space="preserve">Також, </w:t>
      </w:r>
      <w:r>
        <w:rPr>
          <w:iCs/>
          <w:lang w:val="uk-UA"/>
        </w:rPr>
        <w:t xml:space="preserve">відповідно до </w:t>
      </w:r>
      <w:r w:rsidRPr="00532A82">
        <w:rPr>
          <w:iCs/>
          <w:lang w:val="uk-UA"/>
        </w:rPr>
        <w:t xml:space="preserve">рішення Южноукраїнської міської ради від 12.10.2009 №1104 «Про затвердження Концепції розвитку ринків м. Южноукраїнська» </w:t>
      </w:r>
      <w:r>
        <w:rPr>
          <w:iCs/>
          <w:lang w:val="uk-UA"/>
        </w:rPr>
        <w:t>виконані</w:t>
      </w:r>
      <w:r w:rsidRPr="00532A82">
        <w:rPr>
          <w:iCs/>
          <w:lang w:val="uk-UA"/>
        </w:rPr>
        <w:t xml:space="preserve"> </w:t>
      </w:r>
      <w:r w:rsidRPr="00532A82">
        <w:rPr>
          <w:lang w:val="uk-UA"/>
        </w:rPr>
        <w:t>зобов’язан</w:t>
      </w:r>
      <w:r>
        <w:rPr>
          <w:lang w:val="uk-UA"/>
        </w:rPr>
        <w:t>ня</w:t>
      </w:r>
      <w:r w:rsidRPr="00532A82">
        <w:rPr>
          <w:lang w:val="uk-UA"/>
        </w:rPr>
        <w:t xml:space="preserve"> товариств з обмеженою відповідальністю «Титан» (</w:t>
      </w:r>
      <w:proofErr w:type="spellStart"/>
      <w:r w:rsidRPr="00532A82">
        <w:rPr>
          <w:lang w:val="uk-UA"/>
        </w:rPr>
        <w:t>Пузирьов</w:t>
      </w:r>
      <w:proofErr w:type="spellEnd"/>
      <w:r w:rsidRPr="00532A82">
        <w:rPr>
          <w:lang w:val="uk-UA"/>
        </w:rPr>
        <w:t>), «</w:t>
      </w:r>
      <w:proofErr w:type="spellStart"/>
      <w:r w:rsidRPr="00532A82">
        <w:rPr>
          <w:lang w:val="uk-UA"/>
        </w:rPr>
        <w:t>Южноукраїнський</w:t>
      </w:r>
      <w:proofErr w:type="spellEnd"/>
      <w:r w:rsidRPr="00532A82">
        <w:rPr>
          <w:lang w:val="uk-UA"/>
        </w:rPr>
        <w:t xml:space="preserve"> ринок» (Поліщук), «Центральний міський ринок» (</w:t>
      </w:r>
      <w:proofErr w:type="spellStart"/>
      <w:r w:rsidRPr="00532A82">
        <w:rPr>
          <w:lang w:val="uk-UA"/>
        </w:rPr>
        <w:t>Сотіріаді</w:t>
      </w:r>
      <w:proofErr w:type="spellEnd"/>
      <w:r w:rsidRPr="00532A82">
        <w:rPr>
          <w:lang w:val="uk-UA"/>
        </w:rPr>
        <w:t>) розробити (відкоригувати діючі) Плани території ринків з урахуванням фактичного розміщення малих архітектурних форм суб’єктів господарювання, розміщених за їх власні кошти та затвердити ці плани в установленому порядку, передбаченому діючим законодавством України</w:t>
      </w:r>
      <w:r>
        <w:rPr>
          <w:lang w:val="uk-UA"/>
        </w:rPr>
        <w:t>. У</w:t>
      </w:r>
      <w:r w:rsidRPr="00532A82">
        <w:rPr>
          <w:iCs/>
          <w:lang w:val="uk-UA"/>
        </w:rPr>
        <w:t xml:space="preserve"> 2011 році адміністрації ринків затвердили плани територій ринків (у 2014 році КП «Критий ринок» оновив план території ринку), після чого суб’єкти підприємницької діяльності так і не оформ</w:t>
      </w:r>
      <w:r>
        <w:rPr>
          <w:iCs/>
          <w:lang w:val="uk-UA"/>
        </w:rPr>
        <w:t>или</w:t>
      </w:r>
      <w:r w:rsidRPr="00532A82">
        <w:rPr>
          <w:iCs/>
          <w:lang w:val="uk-UA"/>
        </w:rPr>
        <w:t xml:space="preserve"> розміщення малих архітектурних форм та тимчасових споруд на територіях ринків міста Южноукраїнська з урахуванням вимог Концепції. Тому рішення Южноукраїнської міської ради від </w:t>
      </w:r>
      <w:r w:rsidRPr="00532A82">
        <w:rPr>
          <w:iCs/>
          <w:lang w:val="uk-UA"/>
        </w:rPr>
        <w:lastRenderedPageBreak/>
        <w:t xml:space="preserve">12.10.2009 №1104 «Про затвердження Концепції розвитку ринків м. Южноукраїнська»  </w:t>
      </w:r>
      <w:r w:rsidRPr="00532A82">
        <w:rPr>
          <w:lang w:val="uk-UA"/>
        </w:rPr>
        <w:t>у 2024 році</w:t>
      </w:r>
      <w:r>
        <w:rPr>
          <w:lang w:val="uk-UA"/>
        </w:rPr>
        <w:t xml:space="preserve"> </w:t>
      </w:r>
      <w:r w:rsidRPr="00532A82">
        <w:rPr>
          <w:lang w:val="uk-UA"/>
        </w:rPr>
        <w:t>втратило свою актуальність.</w:t>
      </w:r>
      <w:r w:rsidRPr="00532A82">
        <w:rPr>
          <w:i/>
          <w:iCs/>
          <w:lang w:val="uk-UA"/>
        </w:rPr>
        <w:t xml:space="preserve">   </w:t>
      </w:r>
    </w:p>
    <w:p w:rsidR="00366336" w:rsidRDefault="00366336" w:rsidP="00366336">
      <w:pPr>
        <w:ind w:firstLine="993"/>
        <w:contextualSpacing/>
        <w:jc w:val="both"/>
        <w:rPr>
          <w:lang w:val="uk-UA"/>
        </w:rPr>
      </w:pPr>
      <w:r>
        <w:rPr>
          <w:lang w:val="uk-UA"/>
        </w:rPr>
        <w:t>4. В</w:t>
      </w:r>
      <w:r w:rsidRPr="00407D59">
        <w:rPr>
          <w:lang w:val="uk-UA"/>
        </w:rPr>
        <w:t>ідповідно до статті 6 Господарського кодексу України, загальними принципами господарювання в Україні є, в тому числі, заборона незаконного</w:t>
      </w:r>
      <w:r w:rsidRPr="00407D59">
        <w:rPr>
          <w:color w:val="000000"/>
          <w:lang w:val="uk-UA"/>
        </w:rPr>
        <w:t> </w:t>
      </w:r>
      <w:hyperlink r:id="rId5" w:anchor="w12" w:history="1">
        <w:r w:rsidRPr="00407D59">
          <w:rPr>
            <w:bCs/>
            <w:color w:val="000000"/>
            <w:bdr w:val="none" w:sz="0" w:space="0" w:color="auto" w:frame="1"/>
            <w:lang w:val="uk-UA"/>
          </w:rPr>
          <w:t>втручан</w:t>
        </w:r>
      </w:hyperlink>
      <w:r w:rsidRPr="00407D59">
        <w:rPr>
          <w:lang w:val="uk-UA"/>
        </w:rPr>
        <w:t>ня органів місцевого самоврядування, їх посадових осіб у господарські відносини.</w:t>
      </w:r>
    </w:p>
    <w:p w:rsidR="00366336" w:rsidRDefault="00366336" w:rsidP="00366336">
      <w:pPr>
        <w:ind w:firstLine="993"/>
        <w:contextualSpacing/>
        <w:jc w:val="center"/>
        <w:rPr>
          <w:rStyle w:val="a3"/>
          <w:b w:val="0"/>
          <w:lang w:val="uk-UA"/>
        </w:rPr>
      </w:pPr>
    </w:p>
    <w:p w:rsidR="00366336" w:rsidRDefault="00366336" w:rsidP="00366336">
      <w:pPr>
        <w:ind w:firstLine="993"/>
        <w:contextualSpacing/>
        <w:jc w:val="center"/>
        <w:rPr>
          <w:rStyle w:val="a3"/>
          <w:b w:val="0"/>
          <w:lang w:val="uk-UA"/>
        </w:rPr>
      </w:pPr>
    </w:p>
    <w:p w:rsidR="00366336" w:rsidRPr="00DF5874" w:rsidRDefault="00366336" w:rsidP="00366336">
      <w:pPr>
        <w:ind w:firstLine="993"/>
        <w:contextualSpacing/>
        <w:jc w:val="center"/>
        <w:rPr>
          <w:rStyle w:val="a3"/>
          <w:b w:val="0"/>
          <w:bCs w:val="0"/>
          <w:iCs/>
          <w:lang w:val="uk-UA"/>
        </w:rPr>
      </w:pPr>
      <w:r w:rsidRPr="00D34EF1">
        <w:rPr>
          <w:rStyle w:val="a3"/>
          <w:b w:val="0"/>
          <w:lang w:val="uk-UA"/>
        </w:rPr>
        <w:t>ЦІЛЬ ДЕРЖАВНОГО РЕГУЛЮВАННЯ</w:t>
      </w:r>
    </w:p>
    <w:p w:rsidR="00366336" w:rsidRPr="00D34EF1" w:rsidRDefault="00366336" w:rsidP="00366336">
      <w:pPr>
        <w:ind w:right="43"/>
        <w:jc w:val="both"/>
        <w:rPr>
          <w:lang w:val="uk-UA"/>
        </w:rPr>
      </w:pPr>
    </w:p>
    <w:p w:rsidR="00366336" w:rsidRPr="00263D81" w:rsidRDefault="00366336" w:rsidP="00366336">
      <w:pPr>
        <w:ind w:firstLine="709"/>
        <w:jc w:val="both"/>
        <w:rPr>
          <w:lang w:val="uk-UA"/>
        </w:rPr>
      </w:pPr>
      <w:r w:rsidRPr="00263D81">
        <w:rPr>
          <w:lang w:val="uk-UA"/>
        </w:rPr>
        <w:t xml:space="preserve">Ціллю державного регулювання є дотримання норм діючого законодавства України. Органи місцевого самоврядування діють відповідно до Закону України «Про місцеве самоврядування в Україні» від імені та в інтересах територіальних громад та в межах повноважень визначених законодавством України. </w:t>
      </w:r>
    </w:p>
    <w:p w:rsidR="00366336" w:rsidRPr="00263D81" w:rsidRDefault="00366336" w:rsidP="00366336">
      <w:pPr>
        <w:tabs>
          <w:tab w:val="left" w:pos="0"/>
        </w:tabs>
        <w:ind w:firstLine="709"/>
        <w:jc w:val="both"/>
        <w:rPr>
          <w:bCs/>
          <w:iCs/>
          <w:lang w:val="uk-UA"/>
        </w:rPr>
      </w:pPr>
      <w:r w:rsidRPr="00263D81">
        <w:rPr>
          <w:lang w:val="uk-UA"/>
        </w:rPr>
        <w:t>Виходячи із зазначених норм чинного законодавства вирішення існуючих проблем потребує державного регулювання і можливо тільки шляхом прийняття запропонованого регуляторного акту – рішення Южноукраїнської міської ради, відповідно до якого втратить чинність рішення Южноукраїнської міської ради від 12.10.2009 №1104 «Про затвердження Концепції розвитку ринків м. Южноукраїнська», що призведе до приведення регуляторної діяльності до норм діючого законодавства України.</w:t>
      </w:r>
    </w:p>
    <w:p w:rsidR="00366336" w:rsidRDefault="00366336" w:rsidP="00366336">
      <w:pPr>
        <w:ind w:right="43"/>
        <w:jc w:val="both"/>
        <w:rPr>
          <w:bCs/>
          <w:lang w:val="uk-UA"/>
        </w:rPr>
      </w:pPr>
    </w:p>
    <w:p w:rsidR="00366336" w:rsidRDefault="00366336" w:rsidP="00366336">
      <w:pPr>
        <w:ind w:right="43"/>
        <w:jc w:val="center"/>
        <w:rPr>
          <w:bCs/>
          <w:lang w:val="uk-UA"/>
        </w:rPr>
      </w:pPr>
      <w:r w:rsidRPr="00D34EF1">
        <w:rPr>
          <w:bCs/>
          <w:lang w:val="uk-UA"/>
        </w:rPr>
        <w:t>ОБГРУНТУВАННЯ</w:t>
      </w:r>
    </w:p>
    <w:p w:rsidR="00366336" w:rsidRPr="00D34EF1" w:rsidRDefault="00366336" w:rsidP="00366336">
      <w:pPr>
        <w:ind w:right="43"/>
        <w:jc w:val="center"/>
        <w:rPr>
          <w:lang w:val="uk-UA"/>
        </w:rPr>
      </w:pPr>
    </w:p>
    <w:p w:rsidR="00366336" w:rsidRDefault="00366336" w:rsidP="00366336">
      <w:pPr>
        <w:pStyle w:val="a4"/>
        <w:spacing w:after="0"/>
        <w:jc w:val="both"/>
        <w:rPr>
          <w:rStyle w:val="a3"/>
          <w:b w:val="0"/>
        </w:rPr>
      </w:pPr>
      <w:r w:rsidRPr="00D34EF1">
        <w:rPr>
          <w:rStyle w:val="a3"/>
          <w:b w:val="0"/>
        </w:rPr>
        <w:tab/>
        <w:t>Даний проєкт регуляторного акту розроблено у зв’язку із змінами в діючому законодавстві України, що унеможливлює надання повноважень для регулювання ринкових відносин приватних суб’єктів підприємницької діяльності.</w:t>
      </w:r>
    </w:p>
    <w:p w:rsidR="00366336" w:rsidRPr="00D34EF1" w:rsidRDefault="00366336" w:rsidP="00366336">
      <w:pPr>
        <w:pStyle w:val="a4"/>
        <w:spacing w:after="0"/>
        <w:jc w:val="both"/>
        <w:rPr>
          <w:rStyle w:val="a3"/>
          <w:b w:val="0"/>
        </w:rPr>
      </w:pPr>
    </w:p>
    <w:p w:rsidR="00366336" w:rsidRDefault="00366336" w:rsidP="00366336">
      <w:pPr>
        <w:jc w:val="center"/>
        <w:rPr>
          <w:lang w:val="uk-UA"/>
        </w:rPr>
      </w:pPr>
      <w:r w:rsidRPr="00A846A0">
        <w:rPr>
          <w:lang w:val="uk-UA"/>
        </w:rPr>
        <w:t>СПОСІБ ВИРІШЕННЯ ПРОБЛЕМИ</w:t>
      </w:r>
    </w:p>
    <w:p w:rsidR="00366336" w:rsidRPr="00A846A0" w:rsidRDefault="00366336" w:rsidP="00366336">
      <w:pPr>
        <w:jc w:val="both"/>
        <w:rPr>
          <w:lang w:val="uk-UA"/>
        </w:rPr>
      </w:pPr>
    </w:p>
    <w:p w:rsidR="00366336" w:rsidRPr="00A846A0" w:rsidRDefault="00366336" w:rsidP="00366336">
      <w:pPr>
        <w:tabs>
          <w:tab w:val="left" w:pos="0"/>
        </w:tabs>
        <w:jc w:val="both"/>
        <w:rPr>
          <w:lang w:val="uk-UA"/>
        </w:rPr>
      </w:pPr>
      <w:r w:rsidRPr="00A846A0">
        <w:rPr>
          <w:lang w:val="uk-UA"/>
        </w:rPr>
        <w:tab/>
        <w:t>Для вирішення проблеми пропонується прийняти регуляторний акт, відповідно до якого втратить чинність рішення Южноукраїнської міської ради від 12.10.2009 №1104 «Про затвердження Концепції розвитку ринків м. Южноукраїнська».</w:t>
      </w:r>
    </w:p>
    <w:p w:rsidR="00366336" w:rsidRPr="00A846A0" w:rsidRDefault="00366336" w:rsidP="00366336">
      <w:pPr>
        <w:tabs>
          <w:tab w:val="left" w:pos="0"/>
        </w:tabs>
        <w:jc w:val="both"/>
        <w:rPr>
          <w:lang w:val="uk-UA"/>
        </w:rPr>
      </w:pPr>
      <w:r w:rsidRPr="00A846A0">
        <w:rPr>
          <w:lang w:val="uk-UA"/>
        </w:rPr>
        <w:tab/>
      </w:r>
    </w:p>
    <w:p w:rsidR="00366336" w:rsidRDefault="00366336" w:rsidP="00366336">
      <w:pPr>
        <w:jc w:val="center"/>
        <w:rPr>
          <w:bCs/>
          <w:lang w:val="uk-UA"/>
        </w:rPr>
      </w:pPr>
      <w:r w:rsidRPr="00A846A0">
        <w:rPr>
          <w:bCs/>
          <w:lang w:val="uk-UA"/>
        </w:rPr>
        <w:t>АЛЬТЕРНАТИВНІ СПОСОБИ</w:t>
      </w:r>
    </w:p>
    <w:p w:rsidR="00366336" w:rsidRPr="00A846A0" w:rsidRDefault="00366336" w:rsidP="00366336">
      <w:pPr>
        <w:jc w:val="center"/>
        <w:rPr>
          <w:bCs/>
          <w:lang w:val="uk-UA"/>
        </w:rPr>
      </w:pPr>
    </w:p>
    <w:p w:rsidR="00366336" w:rsidRPr="00A846A0" w:rsidRDefault="00366336" w:rsidP="00366336">
      <w:pPr>
        <w:jc w:val="both"/>
        <w:rPr>
          <w:lang w:val="uk-UA"/>
        </w:rPr>
      </w:pPr>
      <w:r w:rsidRPr="00A846A0">
        <w:rPr>
          <w:lang w:val="uk-UA"/>
        </w:rPr>
        <w:t>Альтернатива 1 – залишити без змін чинне регулювання.</w:t>
      </w:r>
    </w:p>
    <w:p w:rsidR="00366336" w:rsidRPr="00A846A0" w:rsidRDefault="00366336" w:rsidP="00366336">
      <w:pPr>
        <w:tabs>
          <w:tab w:val="left" w:pos="0"/>
        </w:tabs>
        <w:jc w:val="both"/>
        <w:rPr>
          <w:lang w:val="uk-UA"/>
        </w:rPr>
      </w:pPr>
      <w:r w:rsidRPr="00A846A0">
        <w:rPr>
          <w:lang w:val="uk-UA"/>
        </w:rPr>
        <w:t xml:space="preserve">Альтернатива 2 – визнати таким, що втратили  чинність рішення Южноукраїнської міської ради від 12.10.2009 №1104 «Про затвердження Концепції розвитку ринків </w:t>
      </w:r>
      <w:r>
        <w:rPr>
          <w:lang w:val="uk-UA"/>
        </w:rPr>
        <w:t xml:space="preserve">                                 </w:t>
      </w:r>
      <w:r w:rsidRPr="00A846A0">
        <w:rPr>
          <w:lang w:val="uk-UA"/>
        </w:rPr>
        <w:t>м. Южноукраїнська».</w:t>
      </w:r>
    </w:p>
    <w:p w:rsidR="00366336" w:rsidRPr="007E23AF" w:rsidRDefault="00366336" w:rsidP="00366336">
      <w:pPr>
        <w:tabs>
          <w:tab w:val="left" w:pos="9360"/>
        </w:tabs>
        <w:ind w:right="-5"/>
        <w:jc w:val="both"/>
        <w:rPr>
          <w:color w:val="FF0000"/>
          <w:lang w:val="uk-UA"/>
        </w:rPr>
      </w:pPr>
      <w:r w:rsidRPr="00A846A0">
        <w:rPr>
          <w:lang w:val="uk-UA"/>
        </w:rPr>
        <w:t xml:space="preserve">Альтернатива </w:t>
      </w:r>
      <w:r>
        <w:rPr>
          <w:lang w:val="uk-UA"/>
        </w:rPr>
        <w:t>3 – виключити окремі положення з</w:t>
      </w:r>
      <w:r w:rsidRPr="00A846A0">
        <w:rPr>
          <w:lang w:val="uk-UA"/>
        </w:rPr>
        <w:t xml:space="preserve"> Концепції розвитку ринків </w:t>
      </w:r>
      <w:r>
        <w:rPr>
          <w:lang w:val="uk-UA"/>
        </w:rPr>
        <w:t xml:space="preserve">                                 </w:t>
      </w:r>
      <w:r w:rsidRPr="00A846A0">
        <w:rPr>
          <w:lang w:val="uk-UA"/>
        </w:rPr>
        <w:t>м. Южноукраїнська</w:t>
      </w:r>
      <w:r>
        <w:rPr>
          <w:lang w:val="uk-UA"/>
        </w:rPr>
        <w:t xml:space="preserve">, затверджені </w:t>
      </w:r>
      <w:r w:rsidRPr="00A846A0">
        <w:rPr>
          <w:lang w:val="uk-UA"/>
        </w:rPr>
        <w:t>рішення</w:t>
      </w:r>
      <w:r>
        <w:rPr>
          <w:lang w:val="uk-UA"/>
        </w:rPr>
        <w:t>м</w:t>
      </w:r>
      <w:r w:rsidRPr="00A846A0">
        <w:rPr>
          <w:lang w:val="uk-UA"/>
        </w:rPr>
        <w:t xml:space="preserve"> Южноукраїнської міської ради від 12.10.2009 №1104</w:t>
      </w:r>
      <w:r>
        <w:rPr>
          <w:lang w:val="uk-UA"/>
        </w:rPr>
        <w:t>, які суперечать нормам діючого законодавства України.</w:t>
      </w:r>
    </w:p>
    <w:p w:rsidR="00366336" w:rsidRDefault="00366336" w:rsidP="00366336">
      <w:pPr>
        <w:ind w:firstLine="708"/>
        <w:jc w:val="both"/>
        <w:rPr>
          <w:lang w:val="uk-UA"/>
        </w:rPr>
      </w:pPr>
    </w:p>
    <w:p w:rsidR="00366336" w:rsidRPr="00A05A0B" w:rsidRDefault="00366336" w:rsidP="00366336">
      <w:pPr>
        <w:ind w:firstLine="708"/>
        <w:jc w:val="both"/>
        <w:rPr>
          <w:lang w:val="uk-UA"/>
        </w:rPr>
      </w:pPr>
      <w:r w:rsidRPr="00A05A0B">
        <w:rPr>
          <w:lang w:val="uk-UA"/>
        </w:rPr>
        <w:t>Вибір альтернативи:</w:t>
      </w:r>
    </w:p>
    <w:p w:rsidR="00366336" w:rsidRPr="00A05A0B" w:rsidRDefault="00366336" w:rsidP="00366336">
      <w:pPr>
        <w:ind w:firstLine="709"/>
        <w:jc w:val="both"/>
        <w:rPr>
          <w:lang w:val="uk-UA"/>
        </w:rPr>
      </w:pPr>
      <w:r w:rsidRPr="00A05A0B">
        <w:rPr>
          <w:lang w:val="uk-UA"/>
        </w:rPr>
        <w:t>Альтернатива 1:</w:t>
      </w:r>
    </w:p>
    <w:p w:rsidR="00366336" w:rsidRPr="00A05A0B" w:rsidRDefault="00366336" w:rsidP="00366336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A05A0B">
        <w:rPr>
          <w:lang w:val="uk-UA"/>
        </w:rPr>
        <w:t xml:space="preserve">у цьому випадку нормативно-правові акт органів місцевого самоврядування не </w:t>
      </w:r>
      <w:r>
        <w:rPr>
          <w:lang w:val="uk-UA"/>
        </w:rPr>
        <w:t>відповідає</w:t>
      </w:r>
      <w:r w:rsidRPr="00A05A0B">
        <w:rPr>
          <w:lang w:val="uk-UA"/>
        </w:rPr>
        <w:t xml:space="preserve"> нормам чинного законодавства України.</w:t>
      </w:r>
    </w:p>
    <w:p w:rsidR="00366336" w:rsidRPr="00A05A0B" w:rsidRDefault="00366336" w:rsidP="00366336">
      <w:pPr>
        <w:overflowPunct w:val="0"/>
        <w:autoSpaceDE w:val="0"/>
        <w:autoSpaceDN w:val="0"/>
        <w:adjustRightInd w:val="0"/>
        <w:ind w:left="45" w:firstLine="709"/>
        <w:jc w:val="both"/>
        <w:textAlignment w:val="baseline"/>
        <w:rPr>
          <w:lang w:val="uk-UA"/>
        </w:rPr>
      </w:pPr>
      <w:r w:rsidRPr="00A05A0B">
        <w:rPr>
          <w:lang w:val="uk-UA"/>
        </w:rPr>
        <w:t>Альтернатива 2:</w:t>
      </w:r>
    </w:p>
    <w:p w:rsidR="00366336" w:rsidRPr="00A05A0B" w:rsidRDefault="00366336" w:rsidP="00366336">
      <w:pPr>
        <w:tabs>
          <w:tab w:val="left" w:pos="0"/>
        </w:tabs>
        <w:ind w:firstLine="709"/>
        <w:jc w:val="both"/>
        <w:rPr>
          <w:rStyle w:val="a3"/>
          <w:b w:val="0"/>
          <w:lang w:val="uk-UA"/>
        </w:rPr>
      </w:pPr>
      <w:r w:rsidRPr="00A05A0B">
        <w:rPr>
          <w:lang w:val="uk-UA"/>
        </w:rPr>
        <w:t xml:space="preserve"> - є найбільш доцільною для застосування, тому що визнання таким, що втрат</w:t>
      </w:r>
      <w:r>
        <w:rPr>
          <w:lang w:val="uk-UA"/>
        </w:rPr>
        <w:t>и</w:t>
      </w:r>
      <w:r w:rsidRPr="00A05A0B">
        <w:rPr>
          <w:lang w:val="uk-UA"/>
        </w:rPr>
        <w:t xml:space="preserve">ть чинність рішення Южноукраїнської міської ради від 12.10.2009 №1104 «Про затвердження Концепції розвитку ринків м. Южноукраїнська» дозволить здійснювати </w:t>
      </w:r>
      <w:r w:rsidRPr="00A05A0B">
        <w:rPr>
          <w:lang w:val="uk-UA"/>
        </w:rPr>
        <w:lastRenderedPageBreak/>
        <w:t>діяльність без втручання</w:t>
      </w:r>
      <w:r>
        <w:rPr>
          <w:lang w:val="uk-UA"/>
        </w:rPr>
        <w:t xml:space="preserve"> місцевої</w:t>
      </w:r>
      <w:r w:rsidRPr="00A05A0B">
        <w:rPr>
          <w:lang w:val="uk-UA"/>
        </w:rPr>
        <w:t xml:space="preserve"> влади в господарську діяльність приватних суб’єктів господарювання.</w:t>
      </w:r>
    </w:p>
    <w:p w:rsidR="00366336" w:rsidRPr="00A05A0B" w:rsidRDefault="00366336" w:rsidP="00366336">
      <w:pPr>
        <w:ind w:firstLine="709"/>
        <w:jc w:val="both"/>
        <w:rPr>
          <w:lang w:val="uk-UA"/>
        </w:rPr>
      </w:pPr>
      <w:r w:rsidRPr="00A05A0B">
        <w:rPr>
          <w:lang w:val="uk-UA"/>
        </w:rPr>
        <w:t>Регулювання побудоване відповідно до принципів регуляторної політики, забезпечує досягнення цілей регулювання.</w:t>
      </w:r>
    </w:p>
    <w:p w:rsidR="00366336" w:rsidRPr="00A05A0B" w:rsidRDefault="00366336" w:rsidP="00366336">
      <w:pPr>
        <w:overflowPunct w:val="0"/>
        <w:autoSpaceDE w:val="0"/>
        <w:autoSpaceDN w:val="0"/>
        <w:adjustRightInd w:val="0"/>
        <w:ind w:left="45" w:firstLine="709"/>
        <w:jc w:val="both"/>
        <w:textAlignment w:val="baseline"/>
        <w:rPr>
          <w:lang w:val="uk-UA"/>
        </w:rPr>
      </w:pPr>
      <w:r w:rsidRPr="00A05A0B">
        <w:rPr>
          <w:lang w:val="uk-UA"/>
        </w:rPr>
        <w:t xml:space="preserve">Альтернатива </w:t>
      </w:r>
      <w:r>
        <w:rPr>
          <w:lang w:val="uk-UA"/>
        </w:rPr>
        <w:t>3</w:t>
      </w:r>
      <w:r w:rsidRPr="00A05A0B">
        <w:rPr>
          <w:lang w:val="uk-UA"/>
        </w:rPr>
        <w:t>:</w:t>
      </w:r>
    </w:p>
    <w:p w:rsidR="00366336" w:rsidRPr="00C366E3" w:rsidRDefault="00366336" w:rsidP="00366336">
      <w:pPr>
        <w:ind w:right="43" w:firstLine="709"/>
        <w:jc w:val="both"/>
        <w:rPr>
          <w:lang w:val="uk-UA"/>
        </w:rPr>
      </w:pPr>
      <w:r w:rsidRPr="00C366E3">
        <w:rPr>
          <w:bCs/>
          <w:lang w:val="uk-UA"/>
        </w:rPr>
        <w:t>Виключення положень</w:t>
      </w:r>
      <w:r w:rsidRPr="00B72925">
        <w:rPr>
          <w:lang w:val="uk-UA"/>
        </w:rPr>
        <w:t xml:space="preserve"> </w:t>
      </w:r>
      <w:r>
        <w:rPr>
          <w:lang w:val="uk-UA"/>
        </w:rPr>
        <w:t>з</w:t>
      </w:r>
      <w:r w:rsidRPr="00A846A0">
        <w:rPr>
          <w:lang w:val="uk-UA"/>
        </w:rPr>
        <w:t xml:space="preserve"> Концепції розвитку ринків м. Южноукраїнська</w:t>
      </w:r>
      <w:r>
        <w:rPr>
          <w:lang w:val="uk-UA"/>
        </w:rPr>
        <w:t xml:space="preserve">, які суперечать нормам діючого законодавства України, призведе до втрати мети регулювання регуляторного акту та </w:t>
      </w:r>
      <w:r w:rsidRPr="00C366E3">
        <w:rPr>
          <w:lang w:val="uk-UA"/>
        </w:rPr>
        <w:t>дублюватиме положення Правил торгівлі на ринках                                     м. Южноукраїнська, затверджених рішення Южноукраїнської міської ради від 12.10.2009 №1105.</w:t>
      </w:r>
    </w:p>
    <w:p w:rsidR="00366336" w:rsidRDefault="00366336" w:rsidP="00366336">
      <w:pPr>
        <w:ind w:right="43"/>
        <w:jc w:val="both"/>
        <w:rPr>
          <w:bCs/>
          <w:color w:val="FF0000"/>
          <w:lang w:val="uk-UA"/>
        </w:rPr>
      </w:pPr>
    </w:p>
    <w:p w:rsidR="00366336" w:rsidRPr="007E23AF" w:rsidRDefault="00366336" w:rsidP="00366336">
      <w:pPr>
        <w:ind w:right="43"/>
        <w:jc w:val="both"/>
        <w:rPr>
          <w:bCs/>
          <w:color w:val="FF0000"/>
          <w:lang w:val="uk-UA"/>
        </w:rPr>
      </w:pPr>
    </w:p>
    <w:p w:rsidR="00366336" w:rsidRDefault="00366336" w:rsidP="00366336">
      <w:pPr>
        <w:ind w:right="43"/>
        <w:jc w:val="center"/>
        <w:rPr>
          <w:bCs/>
          <w:lang w:val="uk-UA"/>
        </w:rPr>
      </w:pPr>
      <w:r w:rsidRPr="00A05A0B">
        <w:rPr>
          <w:bCs/>
          <w:lang w:val="uk-UA"/>
        </w:rPr>
        <w:t>МЕХАНІЗМ ВИРІШЕННЯ ПРОБЛЕМИ</w:t>
      </w:r>
    </w:p>
    <w:p w:rsidR="00366336" w:rsidRPr="00A05A0B" w:rsidRDefault="00366336" w:rsidP="00366336">
      <w:pPr>
        <w:ind w:right="43"/>
        <w:jc w:val="both"/>
        <w:rPr>
          <w:lang w:val="uk-UA"/>
        </w:rPr>
      </w:pPr>
    </w:p>
    <w:p w:rsidR="00366336" w:rsidRPr="00A05A0B" w:rsidRDefault="00366336" w:rsidP="00366336">
      <w:pPr>
        <w:tabs>
          <w:tab w:val="left" w:pos="0"/>
        </w:tabs>
        <w:ind w:right="-5"/>
        <w:jc w:val="both"/>
        <w:rPr>
          <w:lang w:val="uk-UA"/>
        </w:rPr>
      </w:pPr>
      <w:r w:rsidRPr="00A05A0B">
        <w:rPr>
          <w:lang w:val="uk-UA"/>
        </w:rPr>
        <w:tab/>
        <w:t xml:space="preserve">Прийняти запропонований проєкт регуляторного акту – </w:t>
      </w:r>
      <w:r>
        <w:rPr>
          <w:lang w:val="uk-UA"/>
        </w:rPr>
        <w:t xml:space="preserve">рішення Южноукраїнської міської ради «Про втрату чинності </w:t>
      </w:r>
      <w:r w:rsidRPr="00A05A0B">
        <w:rPr>
          <w:lang w:val="uk-UA"/>
        </w:rPr>
        <w:t>рішення Южноукраїнської міської ради від 12.10.2009 №1104 «Про затвердження Концепції розвитку ринків</w:t>
      </w:r>
      <w:r>
        <w:rPr>
          <w:lang w:val="uk-UA"/>
        </w:rPr>
        <w:t xml:space="preserve"> </w:t>
      </w:r>
      <w:r w:rsidRPr="00A05A0B">
        <w:rPr>
          <w:lang w:val="uk-UA"/>
        </w:rPr>
        <w:t>м. Южноукраїнська».</w:t>
      </w:r>
    </w:p>
    <w:p w:rsidR="00366336" w:rsidRPr="00A05A0B" w:rsidRDefault="00366336" w:rsidP="00366336">
      <w:pPr>
        <w:tabs>
          <w:tab w:val="left" w:pos="0"/>
        </w:tabs>
        <w:ind w:right="-5" w:firstLine="709"/>
        <w:jc w:val="both"/>
        <w:rPr>
          <w:lang w:val="uk-UA"/>
        </w:rPr>
      </w:pPr>
      <w:r w:rsidRPr="00A05A0B">
        <w:rPr>
          <w:lang w:val="uk-UA"/>
        </w:rPr>
        <w:t xml:space="preserve">Під час здійснення заходів, пов’язаних з процедурою прийняття регуляторного акту, у відповідності до вимог чинного законодавства, оголошення про оприлюднення </w:t>
      </w:r>
      <w:proofErr w:type="spellStart"/>
      <w:r w:rsidRPr="00A05A0B">
        <w:rPr>
          <w:lang w:val="uk-UA"/>
        </w:rPr>
        <w:t>проєкту</w:t>
      </w:r>
      <w:proofErr w:type="spellEnd"/>
      <w:r w:rsidRPr="00A05A0B">
        <w:rPr>
          <w:lang w:val="uk-UA"/>
        </w:rPr>
        <w:t xml:space="preserve"> регуляторного акту, опубліковано у друкованих засобах масової інформації, а саме: в газеті «Контакт», сам проєкт регуляторного акту оприлюднено в мережі </w:t>
      </w:r>
      <w:proofErr w:type="spellStart"/>
      <w:r w:rsidRPr="00A05A0B">
        <w:t>Internet</w:t>
      </w:r>
      <w:proofErr w:type="spellEnd"/>
      <w:r w:rsidRPr="00A05A0B">
        <w:rPr>
          <w:lang w:val="uk-UA"/>
        </w:rPr>
        <w:t xml:space="preserve"> на офіційному </w:t>
      </w:r>
      <w:proofErr w:type="spellStart"/>
      <w:r w:rsidRPr="00A05A0B">
        <w:rPr>
          <w:lang w:val="uk-UA"/>
        </w:rPr>
        <w:t>вебсайті</w:t>
      </w:r>
      <w:proofErr w:type="spellEnd"/>
      <w:r w:rsidRPr="00A05A0B">
        <w:rPr>
          <w:lang w:val="uk-UA"/>
        </w:rPr>
        <w:t xml:space="preserve"> Южноукраїнської міської ради</w:t>
      </w:r>
      <w:r>
        <w:rPr>
          <w:lang w:val="uk-UA"/>
        </w:rPr>
        <w:t>, офіційній сторінки «</w:t>
      </w:r>
      <w:r>
        <w:rPr>
          <w:lang w:val="en-US"/>
        </w:rPr>
        <w:t>Facebook</w:t>
      </w:r>
      <w:r>
        <w:rPr>
          <w:lang w:val="uk-UA"/>
        </w:rPr>
        <w:t>»</w:t>
      </w:r>
      <w:r w:rsidRPr="00A846A0">
        <w:rPr>
          <w:lang w:val="uk-UA"/>
        </w:rPr>
        <w:t xml:space="preserve"> </w:t>
      </w:r>
      <w:r>
        <w:rPr>
          <w:lang w:val="uk-UA"/>
        </w:rPr>
        <w:t>та у групі «Підприємців»</w:t>
      </w:r>
      <w:r w:rsidRPr="00A846A0">
        <w:rPr>
          <w:lang w:val="uk-UA"/>
        </w:rPr>
        <w:t xml:space="preserve"> </w:t>
      </w:r>
      <w:r>
        <w:rPr>
          <w:lang w:val="en-US"/>
        </w:rPr>
        <w:t>VIBER</w:t>
      </w:r>
      <w:r w:rsidRPr="00A05A0B">
        <w:rPr>
          <w:lang w:val="uk-UA"/>
        </w:rPr>
        <w:t>.</w:t>
      </w:r>
    </w:p>
    <w:p w:rsidR="00366336" w:rsidRPr="00A05A0B" w:rsidRDefault="00366336" w:rsidP="00366336">
      <w:pPr>
        <w:ind w:firstLine="709"/>
        <w:jc w:val="both"/>
        <w:rPr>
          <w:lang w:val="uk-UA"/>
        </w:rPr>
      </w:pPr>
      <w:r w:rsidRPr="00A05A0B">
        <w:rPr>
          <w:lang w:val="uk-UA"/>
        </w:rPr>
        <w:t xml:space="preserve">В процесі оприлюднення регуляторного акту зацікавлені юридичні та фізичні особи матимуть можливість прийняти участь у обговоренні </w:t>
      </w:r>
      <w:proofErr w:type="spellStart"/>
      <w:r w:rsidRPr="00A05A0B">
        <w:rPr>
          <w:lang w:val="uk-UA"/>
        </w:rPr>
        <w:t>проєкту</w:t>
      </w:r>
      <w:proofErr w:type="spellEnd"/>
      <w:r w:rsidRPr="00A05A0B">
        <w:rPr>
          <w:lang w:val="uk-UA"/>
        </w:rPr>
        <w:t xml:space="preserve"> регуляторного акту та </w:t>
      </w:r>
      <w:proofErr w:type="spellStart"/>
      <w:r w:rsidRPr="00A05A0B">
        <w:rPr>
          <w:lang w:val="uk-UA"/>
        </w:rPr>
        <w:t>внести</w:t>
      </w:r>
      <w:proofErr w:type="spellEnd"/>
      <w:r w:rsidRPr="00A05A0B">
        <w:rPr>
          <w:lang w:val="uk-UA"/>
        </w:rPr>
        <w:t xml:space="preserve"> власні зауваження та пропозиції, які можуть бути враховані розробником регуляторного акту. Таким чином, буде забезпечено прозорість та врахування громадської думки в процесі здійснення регуляторної політики.</w:t>
      </w:r>
    </w:p>
    <w:p w:rsidR="00366336" w:rsidRPr="00DF5874" w:rsidRDefault="00366336" w:rsidP="00366336">
      <w:pPr>
        <w:ind w:left="360"/>
        <w:jc w:val="both"/>
        <w:rPr>
          <w:color w:val="FF0000"/>
          <w:lang w:val="uk-UA"/>
        </w:rPr>
      </w:pPr>
      <w:r w:rsidRPr="007E23AF">
        <w:rPr>
          <w:color w:val="FF0000"/>
          <w:lang w:val="uk-UA"/>
        </w:rPr>
        <w:t xml:space="preserve">    </w:t>
      </w:r>
    </w:p>
    <w:p w:rsidR="00366336" w:rsidRDefault="00366336" w:rsidP="00366336">
      <w:pPr>
        <w:ind w:right="45"/>
        <w:jc w:val="center"/>
        <w:rPr>
          <w:bCs/>
          <w:lang w:val="uk-UA"/>
        </w:rPr>
      </w:pPr>
      <w:r w:rsidRPr="00A846A0">
        <w:rPr>
          <w:bCs/>
          <w:lang w:val="uk-UA"/>
        </w:rPr>
        <w:t>МОЖЛИВОСТІ ДОСЯГНЕННЯ ВИЗНАЧЕНИХ ЦІЛЕЙ</w:t>
      </w:r>
    </w:p>
    <w:p w:rsidR="00366336" w:rsidRPr="00A846A0" w:rsidRDefault="00366336" w:rsidP="00366336">
      <w:pPr>
        <w:ind w:right="45"/>
        <w:jc w:val="both"/>
        <w:rPr>
          <w:lang w:val="uk-UA"/>
        </w:rPr>
      </w:pPr>
    </w:p>
    <w:p w:rsidR="00366336" w:rsidRPr="00A846A0" w:rsidRDefault="00366336" w:rsidP="00366336">
      <w:pPr>
        <w:ind w:right="45" w:firstLine="708"/>
        <w:jc w:val="both"/>
        <w:rPr>
          <w:lang w:val="uk-UA"/>
        </w:rPr>
      </w:pPr>
      <w:r w:rsidRPr="00A846A0">
        <w:rPr>
          <w:lang w:val="uk-UA"/>
        </w:rPr>
        <w:t>Прийняття цього регуляторного акту приведе до дотримання вимог чинного законодавства України.</w:t>
      </w:r>
    </w:p>
    <w:p w:rsidR="00366336" w:rsidRPr="00A846A0" w:rsidRDefault="00366336" w:rsidP="00366336">
      <w:pPr>
        <w:ind w:firstLine="720"/>
        <w:jc w:val="both"/>
        <w:rPr>
          <w:lang w:val="uk-UA"/>
        </w:rPr>
      </w:pPr>
      <w:r w:rsidRPr="00A846A0">
        <w:rPr>
          <w:lang w:val="uk-UA"/>
        </w:rPr>
        <w:t xml:space="preserve">Перешкоди щодо можливого впровадження цього регуляторного </w:t>
      </w:r>
      <w:proofErr w:type="spellStart"/>
      <w:r w:rsidRPr="00A846A0">
        <w:rPr>
          <w:lang w:val="uk-UA"/>
        </w:rPr>
        <w:t>акта</w:t>
      </w:r>
      <w:proofErr w:type="spellEnd"/>
      <w:r w:rsidRPr="00A846A0">
        <w:rPr>
          <w:lang w:val="uk-UA"/>
        </w:rPr>
        <w:t xml:space="preserve"> та виконання його вимог відсутні.</w:t>
      </w:r>
    </w:p>
    <w:p w:rsidR="00366336" w:rsidRPr="00A846A0" w:rsidRDefault="00366336" w:rsidP="00366336">
      <w:pPr>
        <w:ind w:firstLine="709"/>
        <w:jc w:val="both"/>
        <w:rPr>
          <w:lang w:val="uk-UA"/>
        </w:rPr>
      </w:pPr>
      <w:r w:rsidRPr="00A846A0">
        <w:rPr>
          <w:lang w:val="uk-UA"/>
        </w:rPr>
        <w:t xml:space="preserve">Даний проєкт регуляторного </w:t>
      </w:r>
      <w:proofErr w:type="spellStart"/>
      <w:r w:rsidRPr="00A846A0">
        <w:rPr>
          <w:lang w:val="uk-UA"/>
        </w:rPr>
        <w:t>акта</w:t>
      </w:r>
      <w:proofErr w:type="spellEnd"/>
      <w:r w:rsidRPr="00A846A0">
        <w:rPr>
          <w:lang w:val="uk-UA"/>
        </w:rPr>
        <w:t xml:space="preserve"> спрямовані на розв’язання проблеми, визначеної в першому розділі АРВ.</w:t>
      </w:r>
    </w:p>
    <w:p w:rsidR="00366336" w:rsidRPr="00DF5874" w:rsidRDefault="00366336" w:rsidP="00366336">
      <w:pPr>
        <w:pStyle w:val="a5"/>
        <w:jc w:val="both"/>
        <w:rPr>
          <w:sz w:val="16"/>
          <w:szCs w:val="16"/>
        </w:rPr>
      </w:pPr>
    </w:p>
    <w:p w:rsidR="00366336" w:rsidRDefault="00366336" w:rsidP="00366336">
      <w:pPr>
        <w:pStyle w:val="a5"/>
        <w:rPr>
          <w:szCs w:val="24"/>
        </w:rPr>
      </w:pPr>
      <w:r w:rsidRPr="00A846A0">
        <w:rPr>
          <w:szCs w:val="24"/>
        </w:rPr>
        <w:t>ОЧІКУВАНІ РЕЗУЛЬТАТИ</w:t>
      </w:r>
    </w:p>
    <w:p w:rsidR="00366336" w:rsidRPr="00DF5874" w:rsidRDefault="00366336" w:rsidP="00366336">
      <w:pPr>
        <w:pStyle w:val="a6"/>
        <w:rPr>
          <w:sz w:val="16"/>
          <w:szCs w:val="16"/>
          <w:lang w:val="uk-UA" w:eastAsia="zh-CN"/>
        </w:rPr>
      </w:pPr>
    </w:p>
    <w:p w:rsidR="00366336" w:rsidRPr="00DF5874" w:rsidRDefault="00366336" w:rsidP="00366336">
      <w:pPr>
        <w:ind w:firstLine="709"/>
        <w:jc w:val="both"/>
        <w:rPr>
          <w:lang w:val="uk-UA"/>
        </w:rPr>
      </w:pPr>
      <w:r w:rsidRPr="00A846A0">
        <w:rPr>
          <w:lang w:val="uk-UA"/>
        </w:rPr>
        <w:t xml:space="preserve">Аналіз </w:t>
      </w:r>
      <w:proofErr w:type="spellStart"/>
      <w:r w:rsidRPr="00A846A0">
        <w:rPr>
          <w:lang w:val="uk-UA"/>
        </w:rPr>
        <w:t>вигод</w:t>
      </w:r>
      <w:proofErr w:type="spellEnd"/>
      <w:r w:rsidRPr="00A846A0">
        <w:rPr>
          <w:lang w:val="uk-UA"/>
        </w:rPr>
        <w:t xml:space="preserve"> та втрат, які виникають у різних груп суб’єктів, на яких поширюється дія даного регуляторного </w:t>
      </w:r>
      <w:proofErr w:type="spellStart"/>
      <w:r w:rsidRPr="00A846A0">
        <w:rPr>
          <w:lang w:val="uk-UA"/>
        </w:rPr>
        <w:t>акта</w:t>
      </w:r>
      <w:proofErr w:type="spellEnd"/>
      <w:r w:rsidRPr="00A846A0">
        <w:rPr>
          <w:lang w:val="uk-UA"/>
        </w:rPr>
        <w:t xml:space="preserve"> має наступний вигляд: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581"/>
      </w:tblGrid>
      <w:tr w:rsidR="00366336" w:rsidRPr="00A846A0" w:rsidTr="00942FA4">
        <w:tc>
          <w:tcPr>
            <w:tcW w:w="6237" w:type="dxa"/>
            <w:vAlign w:val="center"/>
          </w:tcPr>
          <w:p w:rsidR="00366336" w:rsidRPr="00A846A0" w:rsidRDefault="00366336" w:rsidP="00942FA4">
            <w:pPr>
              <w:ind w:left="284" w:firstLine="709"/>
              <w:jc w:val="center"/>
              <w:rPr>
                <w:lang w:val="uk-UA"/>
              </w:rPr>
            </w:pPr>
            <w:r w:rsidRPr="00A846A0">
              <w:rPr>
                <w:lang w:val="uk-UA"/>
              </w:rPr>
              <w:t>Вигоди</w:t>
            </w:r>
          </w:p>
        </w:tc>
        <w:tc>
          <w:tcPr>
            <w:tcW w:w="2581" w:type="dxa"/>
            <w:vAlign w:val="center"/>
          </w:tcPr>
          <w:p w:rsidR="00366336" w:rsidRPr="00A846A0" w:rsidRDefault="00366336" w:rsidP="00942FA4">
            <w:pPr>
              <w:ind w:left="284" w:firstLine="709"/>
              <w:jc w:val="center"/>
              <w:rPr>
                <w:lang w:val="uk-UA"/>
              </w:rPr>
            </w:pPr>
            <w:r w:rsidRPr="00A846A0">
              <w:rPr>
                <w:lang w:val="uk-UA"/>
              </w:rPr>
              <w:t>Втрати</w:t>
            </w:r>
          </w:p>
        </w:tc>
      </w:tr>
      <w:tr w:rsidR="00366336" w:rsidRPr="00A846A0" w:rsidTr="00942FA4">
        <w:tc>
          <w:tcPr>
            <w:tcW w:w="8818" w:type="dxa"/>
            <w:gridSpan w:val="2"/>
            <w:vAlign w:val="center"/>
          </w:tcPr>
          <w:p w:rsidR="00366336" w:rsidRPr="00A846A0" w:rsidRDefault="00366336" w:rsidP="00942FA4">
            <w:pPr>
              <w:ind w:left="284" w:firstLine="709"/>
              <w:jc w:val="center"/>
              <w:rPr>
                <w:lang w:val="uk-UA"/>
              </w:rPr>
            </w:pPr>
            <w:r w:rsidRPr="00A846A0">
              <w:rPr>
                <w:lang w:val="uk-UA"/>
              </w:rPr>
              <w:t>Сфера інтересів органів місцевого самоврядування</w:t>
            </w:r>
          </w:p>
        </w:tc>
      </w:tr>
      <w:tr w:rsidR="00366336" w:rsidRPr="00A846A0" w:rsidTr="00942FA4">
        <w:tc>
          <w:tcPr>
            <w:tcW w:w="6237" w:type="dxa"/>
          </w:tcPr>
          <w:p w:rsidR="00366336" w:rsidRPr="00A846A0" w:rsidRDefault="00366336" w:rsidP="00942FA4">
            <w:pPr>
              <w:ind w:left="34"/>
              <w:jc w:val="both"/>
              <w:rPr>
                <w:lang w:val="uk-UA"/>
              </w:rPr>
            </w:pPr>
            <w:r w:rsidRPr="00A846A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Приведення нормативних актів відповідно до вимог чинного законодавства України</w:t>
            </w:r>
          </w:p>
        </w:tc>
        <w:tc>
          <w:tcPr>
            <w:tcW w:w="2581" w:type="dxa"/>
          </w:tcPr>
          <w:p w:rsidR="00366336" w:rsidRPr="00A846A0" w:rsidRDefault="00366336" w:rsidP="00942FA4">
            <w:pPr>
              <w:ind w:left="66"/>
              <w:jc w:val="both"/>
              <w:rPr>
                <w:lang w:val="uk-UA"/>
              </w:rPr>
            </w:pPr>
            <w:r w:rsidRPr="00A846A0">
              <w:rPr>
                <w:lang w:val="uk-UA"/>
              </w:rPr>
              <w:t>- Відсутні.</w:t>
            </w:r>
          </w:p>
          <w:p w:rsidR="00366336" w:rsidRPr="00A846A0" w:rsidRDefault="00366336" w:rsidP="00942FA4">
            <w:pPr>
              <w:ind w:left="66"/>
              <w:jc w:val="both"/>
              <w:rPr>
                <w:lang w:val="uk-UA"/>
              </w:rPr>
            </w:pPr>
          </w:p>
        </w:tc>
      </w:tr>
      <w:tr w:rsidR="00366336" w:rsidRPr="00A846A0" w:rsidTr="00942FA4">
        <w:tc>
          <w:tcPr>
            <w:tcW w:w="8818" w:type="dxa"/>
            <w:gridSpan w:val="2"/>
          </w:tcPr>
          <w:p w:rsidR="00366336" w:rsidRPr="00A846A0" w:rsidRDefault="00366336" w:rsidP="00942FA4">
            <w:pPr>
              <w:ind w:left="284" w:firstLine="709"/>
              <w:jc w:val="center"/>
              <w:rPr>
                <w:lang w:val="uk-UA"/>
              </w:rPr>
            </w:pPr>
            <w:r w:rsidRPr="00A846A0">
              <w:rPr>
                <w:lang w:val="uk-UA"/>
              </w:rPr>
              <w:t>Сфера інтересів суб’єктів господарювання</w:t>
            </w:r>
          </w:p>
        </w:tc>
      </w:tr>
      <w:tr w:rsidR="00366336" w:rsidRPr="00A846A0" w:rsidTr="00942FA4">
        <w:tc>
          <w:tcPr>
            <w:tcW w:w="6237" w:type="dxa"/>
          </w:tcPr>
          <w:p w:rsidR="00366336" w:rsidRDefault="00366336" w:rsidP="00942FA4">
            <w:pPr>
              <w:numPr>
                <w:ilvl w:val="0"/>
                <w:numId w:val="1"/>
              </w:numPr>
              <w:tabs>
                <w:tab w:val="clear" w:pos="405"/>
                <w:tab w:val="num" w:pos="45"/>
              </w:tabs>
              <w:overflowPunct w:val="0"/>
              <w:autoSpaceDE w:val="0"/>
              <w:autoSpaceDN w:val="0"/>
              <w:adjustRightInd w:val="0"/>
              <w:ind w:left="38" w:firstLine="425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Розміщення тимчасових споруд та малих архітектурних форм на території ринків міста відповідно до законодавства України;</w:t>
            </w:r>
          </w:p>
          <w:p w:rsidR="00366336" w:rsidRPr="00A846A0" w:rsidRDefault="00366336" w:rsidP="00942FA4">
            <w:pPr>
              <w:numPr>
                <w:ilvl w:val="0"/>
                <w:numId w:val="1"/>
              </w:numPr>
              <w:tabs>
                <w:tab w:val="clear" w:pos="405"/>
                <w:tab w:val="num" w:pos="45"/>
              </w:tabs>
              <w:overflowPunct w:val="0"/>
              <w:autoSpaceDE w:val="0"/>
              <w:autoSpaceDN w:val="0"/>
              <w:adjustRightInd w:val="0"/>
              <w:ind w:left="38" w:firstLine="425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Вести господарську діяльність на територіях ринків міста Южноукраїнська відповідно до укладених договорів з адміністраціями ринків, без втручання органів місцевого самоврядування.</w:t>
            </w:r>
          </w:p>
        </w:tc>
        <w:tc>
          <w:tcPr>
            <w:tcW w:w="2581" w:type="dxa"/>
          </w:tcPr>
          <w:p w:rsidR="00366336" w:rsidRPr="00A846A0" w:rsidRDefault="00366336" w:rsidP="00942FA4">
            <w:pPr>
              <w:jc w:val="both"/>
              <w:rPr>
                <w:lang w:val="uk-UA"/>
              </w:rPr>
            </w:pPr>
            <w:r w:rsidRPr="00A846A0">
              <w:rPr>
                <w:lang w:val="uk-UA"/>
              </w:rPr>
              <w:lastRenderedPageBreak/>
              <w:t xml:space="preserve">- </w:t>
            </w:r>
            <w:r>
              <w:rPr>
                <w:lang w:val="uk-UA"/>
              </w:rPr>
              <w:t>Відсутні</w:t>
            </w:r>
          </w:p>
          <w:p w:rsidR="00366336" w:rsidRPr="00A846A0" w:rsidRDefault="00366336" w:rsidP="00942FA4">
            <w:pPr>
              <w:jc w:val="both"/>
              <w:rPr>
                <w:lang w:val="uk-UA"/>
              </w:rPr>
            </w:pPr>
          </w:p>
        </w:tc>
      </w:tr>
      <w:tr w:rsidR="00366336" w:rsidRPr="00A846A0" w:rsidTr="00942FA4">
        <w:tc>
          <w:tcPr>
            <w:tcW w:w="8818" w:type="dxa"/>
            <w:gridSpan w:val="2"/>
          </w:tcPr>
          <w:p w:rsidR="00366336" w:rsidRPr="00A846A0" w:rsidRDefault="00366336" w:rsidP="00942FA4">
            <w:pPr>
              <w:ind w:left="284" w:firstLine="709"/>
              <w:jc w:val="center"/>
              <w:rPr>
                <w:lang w:val="uk-UA"/>
              </w:rPr>
            </w:pPr>
            <w:r w:rsidRPr="00A846A0">
              <w:rPr>
                <w:lang w:val="uk-UA"/>
              </w:rPr>
              <w:t>Сфера інтересів громадян</w:t>
            </w:r>
          </w:p>
        </w:tc>
      </w:tr>
      <w:tr w:rsidR="00366336" w:rsidRPr="00A846A0" w:rsidTr="00942FA4">
        <w:tc>
          <w:tcPr>
            <w:tcW w:w="6237" w:type="dxa"/>
          </w:tcPr>
          <w:p w:rsidR="00366336" w:rsidRPr="00A846A0" w:rsidRDefault="00366336" w:rsidP="00942FA4">
            <w:pPr>
              <w:jc w:val="both"/>
              <w:rPr>
                <w:lang w:val="uk-UA"/>
              </w:rPr>
            </w:pPr>
            <w:r w:rsidRPr="00A846A0">
              <w:rPr>
                <w:lang w:val="uk-UA"/>
              </w:rPr>
              <w:t xml:space="preserve">- </w:t>
            </w:r>
            <w:r>
              <w:rPr>
                <w:lang w:val="uk-UA"/>
              </w:rPr>
              <w:t>розвинута торговельна мережа, забезпечений споживчий ринок, відсутність ажіотажу на товари.</w:t>
            </w:r>
          </w:p>
        </w:tc>
        <w:tc>
          <w:tcPr>
            <w:tcW w:w="2581" w:type="dxa"/>
            <w:vAlign w:val="center"/>
          </w:tcPr>
          <w:p w:rsidR="00366336" w:rsidRPr="00A846A0" w:rsidRDefault="00366336" w:rsidP="00942F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A846A0">
              <w:rPr>
                <w:lang w:val="uk-UA"/>
              </w:rPr>
              <w:t>Відсутні.</w:t>
            </w:r>
          </w:p>
        </w:tc>
      </w:tr>
    </w:tbl>
    <w:p w:rsidR="00366336" w:rsidRPr="00A846A0" w:rsidRDefault="00366336" w:rsidP="00366336">
      <w:pPr>
        <w:jc w:val="both"/>
        <w:rPr>
          <w:bCs/>
          <w:lang w:val="uk-UA"/>
        </w:rPr>
      </w:pPr>
    </w:p>
    <w:p w:rsidR="00366336" w:rsidRPr="00A846A0" w:rsidRDefault="00366336" w:rsidP="00366336">
      <w:pPr>
        <w:jc w:val="both"/>
        <w:rPr>
          <w:lang w:val="uk-UA"/>
        </w:rPr>
      </w:pPr>
      <w:r w:rsidRPr="00A846A0">
        <w:rPr>
          <w:bCs/>
          <w:lang w:val="uk-UA"/>
        </w:rPr>
        <w:t xml:space="preserve">СТРОК ДІЇ РЕГУЛЯТОРНОГО АКТА </w:t>
      </w:r>
    </w:p>
    <w:p w:rsidR="00366336" w:rsidRPr="00A846A0" w:rsidRDefault="00366336" w:rsidP="00366336">
      <w:pPr>
        <w:jc w:val="both"/>
      </w:pPr>
      <w:r w:rsidRPr="00A846A0">
        <w:rPr>
          <w:lang w:val="uk-UA"/>
        </w:rPr>
        <w:t xml:space="preserve">           Строк дії регуляторного акту не обмежений. </w:t>
      </w:r>
    </w:p>
    <w:p w:rsidR="00366336" w:rsidRPr="00A846A0" w:rsidRDefault="00366336" w:rsidP="00366336">
      <w:pPr>
        <w:jc w:val="both"/>
        <w:rPr>
          <w:lang w:val="uk-UA"/>
        </w:rPr>
      </w:pPr>
    </w:p>
    <w:p w:rsidR="00366336" w:rsidRPr="00A846A0" w:rsidRDefault="00366336" w:rsidP="00366336">
      <w:pPr>
        <w:ind w:right="43"/>
        <w:jc w:val="both"/>
        <w:rPr>
          <w:lang w:val="uk-UA"/>
        </w:rPr>
      </w:pPr>
      <w:r w:rsidRPr="00A846A0">
        <w:rPr>
          <w:bCs/>
          <w:iCs/>
          <w:lang w:val="uk-UA"/>
        </w:rPr>
        <w:t>ЗАХОДИ ВІДСТЕЖЕННЯ РЕЗУЛЬТАТИВНОСТІ</w:t>
      </w:r>
    </w:p>
    <w:p w:rsidR="00366336" w:rsidRPr="00A846A0" w:rsidRDefault="00366336" w:rsidP="00366336">
      <w:pPr>
        <w:ind w:firstLine="720"/>
        <w:jc w:val="both"/>
        <w:rPr>
          <w:lang w:val="uk-UA"/>
        </w:rPr>
      </w:pPr>
      <w:r w:rsidRPr="00A846A0">
        <w:rPr>
          <w:lang w:val="uk-UA"/>
        </w:rPr>
        <w:t xml:space="preserve">Зазначений проєкт нормативно-правового акту є загальнообов’язковим до застосування на території міста Южноукраїнськ та має необмежений термін дії. </w:t>
      </w:r>
    </w:p>
    <w:p w:rsidR="00366336" w:rsidRPr="00A846A0" w:rsidRDefault="00366336" w:rsidP="00366336">
      <w:pPr>
        <w:ind w:firstLine="709"/>
        <w:jc w:val="both"/>
      </w:pPr>
    </w:p>
    <w:p w:rsidR="00366336" w:rsidRPr="00A846A0" w:rsidRDefault="00366336" w:rsidP="00366336">
      <w:pPr>
        <w:ind w:firstLine="540"/>
        <w:jc w:val="both"/>
        <w:rPr>
          <w:rStyle w:val="a3"/>
          <w:b w:val="0"/>
          <w:u w:val="single"/>
          <w:lang w:val="uk-UA"/>
        </w:rPr>
      </w:pPr>
      <w:r w:rsidRPr="00A846A0">
        <w:rPr>
          <w:lang w:val="uk-UA"/>
        </w:rPr>
        <w:t xml:space="preserve">  Для визначення результативності цього регуляторного акту пропонується встановити </w:t>
      </w:r>
      <w:r w:rsidRPr="00A846A0">
        <w:rPr>
          <w:rStyle w:val="a3"/>
          <w:b w:val="0"/>
          <w:u w:val="single"/>
          <w:lang w:val="uk-UA"/>
        </w:rPr>
        <w:t>показник результативності регуляторного акту:</w:t>
      </w:r>
    </w:p>
    <w:p w:rsidR="00366336" w:rsidRPr="00A846A0" w:rsidRDefault="00366336" w:rsidP="00366336">
      <w:pPr>
        <w:tabs>
          <w:tab w:val="left" w:pos="0"/>
        </w:tabs>
        <w:ind w:right="-5" w:firstLine="709"/>
        <w:jc w:val="both"/>
        <w:rPr>
          <w:rStyle w:val="a3"/>
          <w:b w:val="0"/>
          <w:bCs w:val="0"/>
          <w:lang w:val="uk-UA"/>
        </w:rPr>
      </w:pPr>
      <w:r w:rsidRPr="00A846A0">
        <w:rPr>
          <w:lang w:val="uk-UA"/>
        </w:rPr>
        <w:t xml:space="preserve">- рівень поінформованості суб’єктів господарювання, з основними положеннями регуляторного акту – високий, (офіційний </w:t>
      </w:r>
      <w:proofErr w:type="spellStart"/>
      <w:r w:rsidRPr="00A846A0">
        <w:rPr>
          <w:lang w:val="uk-UA"/>
        </w:rPr>
        <w:t>вебсайт</w:t>
      </w:r>
      <w:proofErr w:type="spellEnd"/>
      <w:r w:rsidRPr="00A846A0">
        <w:rPr>
          <w:lang w:val="uk-UA"/>
        </w:rPr>
        <w:t xml:space="preserve"> Южноукраїнської міської ради, газета «Контакт»,  бібліотеки міста</w:t>
      </w:r>
      <w:r>
        <w:rPr>
          <w:lang w:val="uk-UA"/>
        </w:rPr>
        <w:t>,</w:t>
      </w:r>
      <w:r w:rsidRPr="00A846A0">
        <w:rPr>
          <w:lang w:val="uk-UA"/>
        </w:rPr>
        <w:t xml:space="preserve"> офіційній сторінки «</w:t>
      </w:r>
      <w:r w:rsidRPr="00A846A0">
        <w:rPr>
          <w:lang w:val="en-US"/>
        </w:rPr>
        <w:t>Facebook</w:t>
      </w:r>
      <w:r w:rsidRPr="00A846A0">
        <w:rPr>
          <w:lang w:val="uk-UA"/>
        </w:rPr>
        <w:t xml:space="preserve">» та у групі «Підприємців» </w:t>
      </w:r>
      <w:r w:rsidRPr="00A846A0">
        <w:rPr>
          <w:lang w:val="en-US"/>
        </w:rPr>
        <w:t>VIBER</w:t>
      </w:r>
      <w:r w:rsidRPr="00A846A0">
        <w:rPr>
          <w:lang w:val="uk-UA"/>
        </w:rPr>
        <w:t>).</w:t>
      </w:r>
      <w:r w:rsidRPr="00A846A0">
        <w:rPr>
          <w:rStyle w:val="a3"/>
          <w:b w:val="0"/>
          <w:u w:val="single"/>
          <w:lang w:val="uk-UA"/>
        </w:rPr>
        <w:t xml:space="preserve"> </w:t>
      </w:r>
    </w:p>
    <w:p w:rsidR="00366336" w:rsidRPr="00A846A0" w:rsidRDefault="00366336" w:rsidP="00366336">
      <w:pPr>
        <w:pStyle w:val="a5"/>
        <w:ind w:firstLine="540"/>
        <w:jc w:val="both"/>
        <w:rPr>
          <w:bCs/>
          <w:iCs/>
          <w:szCs w:val="24"/>
        </w:rPr>
      </w:pPr>
      <w:r w:rsidRPr="00A846A0">
        <w:rPr>
          <w:szCs w:val="24"/>
          <w:u w:val="single"/>
        </w:rPr>
        <w:t xml:space="preserve">Термін проведення відстеження  результативності: </w:t>
      </w:r>
    </w:p>
    <w:p w:rsidR="00366336" w:rsidRPr="00A846A0" w:rsidRDefault="00366336" w:rsidP="00366336">
      <w:pPr>
        <w:ind w:right="43" w:firstLine="720"/>
        <w:jc w:val="both"/>
        <w:rPr>
          <w:lang w:val="uk-UA"/>
        </w:rPr>
      </w:pPr>
      <w:r w:rsidRPr="00A846A0">
        <w:rPr>
          <w:bCs/>
          <w:iCs/>
          <w:lang w:val="uk-UA"/>
        </w:rPr>
        <w:t>Базове відстеження результативності</w:t>
      </w:r>
      <w:r w:rsidRPr="00A846A0">
        <w:rPr>
          <w:lang w:val="uk-UA"/>
        </w:rPr>
        <w:t xml:space="preserve"> провести до дня набрання чинності регуляторним актом.</w:t>
      </w:r>
    </w:p>
    <w:p w:rsidR="00366336" w:rsidRPr="00A846A0" w:rsidRDefault="00366336" w:rsidP="00366336">
      <w:pPr>
        <w:ind w:firstLine="720"/>
        <w:jc w:val="both"/>
        <w:rPr>
          <w:lang w:val="uk-UA"/>
        </w:rPr>
      </w:pPr>
      <w:r w:rsidRPr="00A846A0">
        <w:rPr>
          <w:lang w:val="uk-UA"/>
        </w:rPr>
        <w:t>Дані на підставі яких буде проводитись відстеження результативності регуляторного акту – статистичні.</w:t>
      </w:r>
    </w:p>
    <w:p w:rsidR="00366336" w:rsidRPr="00A846A0" w:rsidRDefault="00366336" w:rsidP="00366336">
      <w:pPr>
        <w:ind w:firstLine="720"/>
        <w:jc w:val="both"/>
        <w:rPr>
          <w:lang w:val="uk-UA"/>
        </w:rPr>
      </w:pPr>
      <w:r w:rsidRPr="00A846A0">
        <w:rPr>
          <w:lang w:val="uk-UA"/>
        </w:rPr>
        <w:t>Виконавець відстеження результативності – управління економічного розвитку Южноукраїнської міської ради.</w:t>
      </w:r>
    </w:p>
    <w:p w:rsidR="00366336" w:rsidRPr="00DF5874" w:rsidRDefault="00366336" w:rsidP="00366336">
      <w:pPr>
        <w:pStyle w:val="3"/>
        <w:jc w:val="center"/>
        <w:rPr>
          <w:rFonts w:ascii="Times New Roman" w:hAnsi="Times New Roman"/>
          <w:b/>
          <w:bCs/>
          <w:lang w:val="uk-UA"/>
        </w:rPr>
      </w:pPr>
      <w:r w:rsidRPr="00DF5874">
        <w:rPr>
          <w:rFonts w:ascii="Times New Roman" w:hAnsi="Times New Roman"/>
          <w:b/>
          <w:bCs/>
          <w:lang w:val="uk-UA"/>
        </w:rPr>
        <w:t>ТЕСТ</w:t>
      </w:r>
      <w:r w:rsidRPr="00DF5874">
        <w:rPr>
          <w:rFonts w:ascii="Times New Roman" w:hAnsi="Times New Roman"/>
          <w:b/>
          <w:bCs/>
          <w:lang w:val="uk-UA"/>
        </w:rPr>
        <w:br/>
      </w:r>
      <w:r>
        <w:rPr>
          <w:rFonts w:ascii="Times New Roman" w:hAnsi="Times New Roman"/>
          <w:b/>
          <w:bCs/>
          <w:lang w:val="uk-UA"/>
        </w:rPr>
        <w:t>МАЛОГО ПІДПРИЄМНИЦТВА</w:t>
      </w:r>
      <w:r w:rsidRPr="00DF5874">
        <w:rPr>
          <w:rFonts w:ascii="Times New Roman" w:hAnsi="Times New Roman"/>
          <w:b/>
          <w:bCs/>
          <w:lang w:val="uk-UA"/>
        </w:rPr>
        <w:t xml:space="preserve"> (М-Тест)</w:t>
      </w:r>
    </w:p>
    <w:p w:rsidR="00366336" w:rsidRDefault="00366336" w:rsidP="00366336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C43C0C">
        <w:t>Консультації з представниками мікро- та малого підприємництва щодо оцінки впливу регулювання</w:t>
      </w:r>
      <w:r w:rsidRPr="00C43C0C">
        <w:rPr>
          <w:lang w:val="ru-RU"/>
        </w:rPr>
        <w:t>.</w:t>
      </w:r>
    </w:p>
    <w:p w:rsidR="00366336" w:rsidRPr="00C43C0C" w:rsidRDefault="00366336" w:rsidP="00366336">
      <w:pPr>
        <w:pStyle w:val="a4"/>
        <w:ind w:left="540"/>
        <w:jc w:val="both"/>
        <w:rPr>
          <w:lang w:val="ru-RU"/>
        </w:rPr>
      </w:pPr>
    </w:p>
    <w:p w:rsidR="00366336" w:rsidRPr="00C43C0C" w:rsidRDefault="00366336" w:rsidP="00366336">
      <w:pPr>
        <w:pStyle w:val="a4"/>
        <w:jc w:val="both"/>
      </w:pPr>
      <w:r w:rsidRPr="00C43C0C">
        <w:t xml:space="preserve">         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було проведено розробником у </w:t>
      </w:r>
      <w:r w:rsidRPr="00C43C0C">
        <w:rPr>
          <w:shd w:val="clear" w:color="auto" w:fill="FFFFFF"/>
        </w:rPr>
        <w:t xml:space="preserve">період з </w:t>
      </w:r>
      <w:r>
        <w:rPr>
          <w:shd w:val="clear" w:color="auto" w:fill="FFFFFF"/>
        </w:rPr>
        <w:t>01</w:t>
      </w:r>
      <w:r w:rsidRPr="00C43C0C">
        <w:rPr>
          <w:shd w:val="clear" w:color="auto" w:fill="FFFFFF"/>
        </w:rPr>
        <w:t xml:space="preserve">.04.2024 по </w:t>
      </w:r>
      <w:r>
        <w:rPr>
          <w:shd w:val="clear" w:color="auto" w:fill="FFFFFF"/>
        </w:rPr>
        <w:t>26</w:t>
      </w:r>
      <w:r w:rsidRPr="00C43C0C">
        <w:rPr>
          <w:shd w:val="clear" w:color="auto" w:fill="FFFFFF"/>
        </w:rPr>
        <w:t>.0</w:t>
      </w:r>
      <w:r>
        <w:rPr>
          <w:shd w:val="clear" w:color="auto" w:fill="FFFFFF"/>
        </w:rPr>
        <w:t>4</w:t>
      </w:r>
      <w:r w:rsidRPr="00C43C0C">
        <w:rPr>
          <w:shd w:val="clear" w:color="auto" w:fill="FFFFFF"/>
        </w:rPr>
        <w:t>.2024</w:t>
      </w:r>
    </w:p>
    <w:tbl>
      <w:tblPr>
        <w:tblW w:w="497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4"/>
        <w:gridCol w:w="4043"/>
        <w:gridCol w:w="1590"/>
        <w:gridCol w:w="1767"/>
      </w:tblGrid>
      <w:tr w:rsidR="00366336" w:rsidRPr="00C43C0C" w:rsidTr="00942FA4">
        <w:trPr>
          <w:trHeight w:val="1583"/>
          <w:tblCellSpacing w:w="22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Порядковий номер</w:t>
            </w:r>
          </w:p>
        </w:tc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Кількість учасників консультацій, осіб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Основні результати консультацій (опис)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1</w:t>
            </w:r>
          </w:p>
        </w:tc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>
              <w:t>Р</w:t>
            </w:r>
            <w:r w:rsidRPr="00C43C0C">
              <w:t>обоч</w:t>
            </w:r>
            <w:r>
              <w:t>а</w:t>
            </w:r>
            <w:r w:rsidRPr="00C43C0C">
              <w:t xml:space="preserve"> груп</w:t>
            </w:r>
            <w:r>
              <w:t>а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11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Отримання інформації та пропозиції</w:t>
            </w:r>
          </w:p>
        </w:tc>
      </w:tr>
    </w:tbl>
    <w:p w:rsidR="00366336" w:rsidRPr="00C43C0C" w:rsidRDefault="00366336" w:rsidP="00366336">
      <w:pPr>
        <w:pStyle w:val="a4"/>
        <w:spacing w:before="120" w:after="120"/>
        <w:jc w:val="both"/>
      </w:pPr>
      <w:r w:rsidRPr="00C43C0C">
        <w:t xml:space="preserve">         2. Вимірювання впливу регулювання на суб'єктів малого підприємництва (мікро- та малі):</w:t>
      </w:r>
    </w:p>
    <w:p w:rsidR="00366336" w:rsidRPr="00C43C0C" w:rsidRDefault="00366336" w:rsidP="00366336">
      <w:pPr>
        <w:pStyle w:val="a4"/>
        <w:spacing w:before="120" w:after="120"/>
        <w:jc w:val="both"/>
      </w:pPr>
      <w:r w:rsidRPr="00C43C0C">
        <w:lastRenderedPageBreak/>
        <w:t xml:space="preserve">кількість суб'єктів малого підприємництва, на яких поширюється регулювання: </w:t>
      </w:r>
      <w:r>
        <w:t>346 осіб</w:t>
      </w:r>
      <w:r w:rsidRPr="00C43C0C">
        <w:t xml:space="preserve">; питома вага суб’єктів малого підприємництва у загальній кількості суб’єктів господарювання, на яких проблема справляє вплив - </w:t>
      </w:r>
      <w:r>
        <w:t>10</w:t>
      </w:r>
      <w:r w:rsidRPr="00C43C0C">
        <w:t>0 (відсотків).</w:t>
      </w:r>
    </w:p>
    <w:p w:rsidR="00366336" w:rsidRPr="00C43C0C" w:rsidRDefault="00366336" w:rsidP="00366336">
      <w:pPr>
        <w:pStyle w:val="a4"/>
        <w:spacing w:before="120" w:after="120"/>
        <w:jc w:val="both"/>
      </w:pPr>
      <w:r w:rsidRPr="00C43C0C">
        <w:t>3. Розрахунок витрат суб'єктів малого підприємництва на виконання вимог регулювання</w:t>
      </w:r>
    </w:p>
    <w:tbl>
      <w:tblPr>
        <w:tblW w:w="495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9"/>
        <w:gridCol w:w="3130"/>
        <w:gridCol w:w="1598"/>
        <w:gridCol w:w="1287"/>
        <w:gridCol w:w="1409"/>
      </w:tblGrid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Порядковий номер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Найменування оцінки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У перший рік (стартовий рік впровадження регулювання)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Періодичні (за наступний рік)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Витрати за п'ять років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49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Оцінка "прямих" витрат суб'єктів малого підприємництва на виконання регулювання</w:t>
            </w:r>
          </w:p>
        </w:tc>
      </w:tr>
      <w:tr w:rsidR="00366336" w:rsidRPr="00C43C0C" w:rsidTr="00942FA4">
        <w:trPr>
          <w:trHeight w:val="359"/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1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Придбання необхідного обладнання (пристроїв, машин, механізмів)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 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rHeight w:val="1242"/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2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 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3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 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4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Процедури обслуговування обладнання (технічне обслуговування)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 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5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Інші процедури (уточнити)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6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Разом, гривень</w:t>
            </w:r>
            <w:r w:rsidRPr="00C43C0C">
              <w:br/>
            </w:r>
            <w:r w:rsidRPr="00C43C0C">
              <w:rPr>
                <w:i/>
                <w:iCs/>
              </w:rPr>
              <w:t>Формула:</w:t>
            </w:r>
            <w:r w:rsidRPr="00C43C0C">
              <w:br/>
            </w:r>
            <w:r w:rsidRPr="00C43C0C">
              <w:rPr>
                <w:i/>
                <w:iCs/>
              </w:rPr>
              <w:t>(сума рядків 1 + 2 + 3 + 4 + 5)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 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7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8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Сумарно, гривень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 0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49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9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Процедури отримання первинної інформації про вимоги регулювання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ind w:left="-37" w:firstLine="37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lastRenderedPageBreak/>
              <w:t>10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Процедури організації виконання вимог регулювання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 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11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Процедури офіційного звітування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12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Процедури щодо забезпечення процесу перевірок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 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13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Інші процедури (уточнити)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14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Разом, гривень</w:t>
            </w:r>
            <w:r w:rsidRPr="00C43C0C">
              <w:br/>
            </w:r>
            <w:r w:rsidRPr="00C43C0C">
              <w:rPr>
                <w:i/>
                <w:iCs/>
              </w:rPr>
              <w:t>Формула:</w:t>
            </w:r>
            <w:r w:rsidRPr="00C43C0C">
              <w:br/>
            </w:r>
            <w:r w:rsidRPr="00C43C0C">
              <w:rPr>
                <w:i/>
                <w:iCs/>
              </w:rPr>
              <w:t>(сума рядків 9 + 10 + 11 + 12 + 13)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Х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15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</w:pPr>
            <w:r w:rsidRPr="00C43C0C">
              <w:t>16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</w:pPr>
            <w:r w:rsidRPr="00C43C0C">
              <w:t>Сумарно, гривень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х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C43C0C">
              <w:rPr>
                <w:sz w:val="22"/>
                <w:szCs w:val="22"/>
              </w:rPr>
              <w:t>0 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49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6540F6">
              <w:t>Розрахунок сумарних витрат суб’єктів малого підприємництва, що виникають на виконання вимог регулювання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</w:pPr>
            <w:r w:rsidRPr="006540F6">
              <w:t>Порядковий номер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</w:pPr>
            <w:r w:rsidRPr="006540F6">
              <w:t>Показник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6540F6">
              <w:t>Перший рік регулювання (стартовий)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6540F6">
              <w:t>За п’ять років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 w:rsidRPr="006540F6">
              <w:t>Порядковий номер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</w:pPr>
            <w:r w:rsidRPr="006540F6">
              <w:t>1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</w:pPr>
            <w:r w:rsidRPr="0068130D"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</w:pPr>
            <w:r>
              <w:t>2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</w:pPr>
            <w:r w:rsidRPr="0068130D"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</w:pPr>
            <w:r>
              <w:t>3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</w:pPr>
            <w:r w:rsidRPr="0068130D">
              <w:t>Сумарні витрати малого підприємництва на виконання запланованого  регулювання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</w:pPr>
            <w:r>
              <w:t>4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</w:pPr>
            <w:r w:rsidRPr="0068130D">
              <w:t>Бюджетні витрати  на адміністрування регулювання суб’єктів малого підприємництва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6336" w:rsidRPr="00C43C0C" w:rsidTr="00942FA4">
        <w:trPr>
          <w:tblCellSpacing w:w="22" w:type="dxa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</w:pPr>
            <w:r>
              <w:lastRenderedPageBreak/>
              <w:t>5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</w:pPr>
            <w:r w:rsidRPr="0068130D">
              <w:t>Сумарні витрати на виконання запланованого регулювання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36" w:rsidRPr="00C43C0C" w:rsidRDefault="00366336" w:rsidP="0094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66336" w:rsidRPr="00C43C0C" w:rsidRDefault="00366336" w:rsidP="00366336">
      <w:pPr>
        <w:pStyle w:val="a4"/>
        <w:spacing w:before="120" w:after="120"/>
        <w:jc w:val="center"/>
        <w:rPr>
          <w:b/>
          <w:lang w:eastAsia="ru-RU"/>
        </w:rPr>
      </w:pPr>
      <w:r w:rsidRPr="00C43C0C">
        <w:rPr>
          <w:b/>
        </w:rPr>
        <w:t>Бюджетні витрати на адміністрування регулювання суб'єктів малого підприємництва</w:t>
      </w:r>
    </w:p>
    <w:p w:rsidR="00366336" w:rsidRPr="00C43C0C" w:rsidRDefault="00366336" w:rsidP="00366336">
      <w:pPr>
        <w:pStyle w:val="a4"/>
        <w:spacing w:before="120" w:after="120"/>
        <w:jc w:val="both"/>
      </w:pPr>
      <w:r w:rsidRPr="00C43C0C">
        <w:t xml:space="preserve">            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366336" w:rsidRPr="00C43C0C" w:rsidRDefault="00366336" w:rsidP="00366336">
      <w:pPr>
        <w:pStyle w:val="a4"/>
        <w:spacing w:before="120" w:after="120"/>
        <w:jc w:val="both"/>
      </w:pPr>
      <w:r w:rsidRPr="00C43C0C">
        <w:t xml:space="preserve">            Витрати на оплату послуг з видачі дозволів суб’єкти малого підприємництва не нестимуть.</w:t>
      </w:r>
    </w:p>
    <w:p w:rsidR="00366336" w:rsidRPr="00C43C0C" w:rsidRDefault="00366336" w:rsidP="00366336">
      <w:pPr>
        <w:pStyle w:val="a4"/>
        <w:spacing w:after="0"/>
        <w:jc w:val="both"/>
      </w:pPr>
      <w:r w:rsidRPr="00C43C0C">
        <w:t xml:space="preserve">            Згідно розрахунку сумарних витрат виявлено, що суб'єкти малого підприємництва при виконанні запланованого регулювання не понесуть ніяких витрат.</w:t>
      </w:r>
    </w:p>
    <w:p w:rsidR="00366336" w:rsidRPr="00C43C0C" w:rsidRDefault="00366336" w:rsidP="00366336">
      <w:pPr>
        <w:jc w:val="both"/>
        <w:rPr>
          <w:lang w:val="uk-UA"/>
        </w:rPr>
      </w:pPr>
    </w:p>
    <w:p w:rsidR="00366336" w:rsidRDefault="00366336" w:rsidP="00366336">
      <w:pPr>
        <w:jc w:val="both"/>
        <w:rPr>
          <w:lang w:val="uk-UA"/>
        </w:rPr>
      </w:pPr>
    </w:p>
    <w:p w:rsidR="00366336" w:rsidRDefault="00366336" w:rsidP="00366336">
      <w:pPr>
        <w:jc w:val="both"/>
        <w:rPr>
          <w:lang w:val="uk-UA"/>
        </w:rPr>
      </w:pPr>
    </w:p>
    <w:p w:rsidR="00366336" w:rsidRDefault="00366336" w:rsidP="00366336">
      <w:pPr>
        <w:jc w:val="both"/>
        <w:rPr>
          <w:lang w:val="uk-UA"/>
        </w:rPr>
      </w:pPr>
    </w:p>
    <w:p w:rsidR="00366336" w:rsidRDefault="00366336" w:rsidP="00366336">
      <w:pPr>
        <w:jc w:val="both"/>
        <w:rPr>
          <w:lang w:val="uk-UA"/>
        </w:rPr>
      </w:pPr>
    </w:p>
    <w:p w:rsidR="00366336" w:rsidRPr="00D538A5" w:rsidRDefault="00366336" w:rsidP="00366336">
      <w:pPr>
        <w:jc w:val="both"/>
        <w:rPr>
          <w:lang w:val="uk-UA"/>
        </w:rPr>
      </w:pPr>
      <w:r w:rsidRPr="00D538A5">
        <w:rPr>
          <w:lang w:val="uk-UA"/>
        </w:rPr>
        <w:t>Начальник управління економічного</w:t>
      </w:r>
    </w:p>
    <w:p w:rsidR="00366336" w:rsidRPr="00D538A5" w:rsidRDefault="00366336" w:rsidP="00366336">
      <w:pPr>
        <w:jc w:val="both"/>
        <w:rPr>
          <w:lang w:val="uk-UA"/>
        </w:rPr>
      </w:pPr>
      <w:r w:rsidRPr="00D538A5">
        <w:rPr>
          <w:lang w:val="uk-UA"/>
        </w:rPr>
        <w:t>розвитку Южноукраїнської міської ради</w:t>
      </w:r>
      <w:r w:rsidRPr="00D538A5">
        <w:rPr>
          <w:lang w:val="uk-UA"/>
        </w:rPr>
        <w:tab/>
      </w:r>
      <w:r w:rsidRPr="00D538A5">
        <w:rPr>
          <w:lang w:val="uk-UA"/>
        </w:rPr>
        <w:tab/>
      </w:r>
      <w:r w:rsidRPr="00D538A5">
        <w:rPr>
          <w:lang w:val="uk-UA"/>
        </w:rPr>
        <w:tab/>
      </w:r>
      <w:r w:rsidRPr="00D538A5">
        <w:rPr>
          <w:lang w:val="uk-UA"/>
        </w:rPr>
        <w:tab/>
      </w:r>
      <w:r>
        <w:rPr>
          <w:lang w:val="uk-UA"/>
        </w:rPr>
        <w:t>Тетяна ТАЦІЄНКО</w:t>
      </w:r>
    </w:p>
    <w:p w:rsidR="00366336" w:rsidRPr="00D538A5" w:rsidRDefault="00366336" w:rsidP="00366336">
      <w:pPr>
        <w:rPr>
          <w:lang w:val="uk-UA"/>
        </w:rPr>
      </w:pPr>
    </w:p>
    <w:p w:rsidR="00366336" w:rsidRDefault="00366336" w:rsidP="00366336">
      <w:pPr>
        <w:tabs>
          <w:tab w:val="left" w:pos="0"/>
        </w:tabs>
        <w:ind w:right="-5"/>
        <w:rPr>
          <w:sz w:val="18"/>
          <w:szCs w:val="18"/>
          <w:lang w:val="uk-UA"/>
        </w:rPr>
        <w:sectPr w:rsidR="00366336" w:rsidSect="00297872">
          <w:pgSz w:w="11906" w:h="16838" w:code="9"/>
          <w:pgMar w:top="1134" w:right="707" w:bottom="1134" w:left="2268" w:header="709" w:footer="709" w:gutter="0"/>
          <w:cols w:space="708"/>
          <w:docGrid w:linePitch="360"/>
        </w:sectPr>
      </w:pPr>
      <w:bookmarkStart w:id="4" w:name="_GoBack"/>
      <w:bookmarkEnd w:id="4"/>
    </w:p>
    <w:p w:rsidR="00366336" w:rsidRPr="001F5F6B" w:rsidRDefault="00366336" w:rsidP="00366336">
      <w:pPr>
        <w:ind w:right="283"/>
        <w:jc w:val="both"/>
      </w:pPr>
    </w:p>
    <w:p w:rsidR="00CB21FC" w:rsidRDefault="00CB21FC"/>
    <w:sectPr w:rsidR="00CB21FC" w:rsidSect="00297872">
      <w:pgSz w:w="11906" w:h="16838" w:code="9"/>
      <w:pgMar w:top="113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6E3"/>
    <w:multiLevelType w:val="hybridMultilevel"/>
    <w:tmpl w:val="383014D6"/>
    <w:lvl w:ilvl="0" w:tplc="DB585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FE2B95"/>
    <w:multiLevelType w:val="hybridMultilevel"/>
    <w:tmpl w:val="E36E7364"/>
    <w:lvl w:ilvl="0" w:tplc="31E0BBB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36"/>
    <w:rsid w:val="00366336"/>
    <w:rsid w:val="00774DD7"/>
    <w:rsid w:val="00B67D5F"/>
    <w:rsid w:val="00B93DC8"/>
    <w:rsid w:val="00C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FF53-ED91-4AB1-8F37-418A3337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63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3">
    <w:name w:val="Strong"/>
    <w:basedOn w:val="a0"/>
    <w:qFormat/>
    <w:rsid w:val="00366336"/>
    <w:rPr>
      <w:b/>
      <w:bCs/>
    </w:rPr>
  </w:style>
  <w:style w:type="paragraph" w:styleId="a4">
    <w:name w:val="Normal (Web)"/>
    <w:basedOn w:val="a"/>
    <w:rsid w:val="00366336"/>
    <w:pPr>
      <w:suppressAutoHyphens/>
      <w:spacing w:after="63"/>
    </w:pPr>
    <w:rPr>
      <w:lang w:val="uk-UA" w:eastAsia="zh-CN"/>
    </w:rPr>
  </w:style>
  <w:style w:type="paragraph" w:styleId="a5">
    <w:name w:val="Title"/>
    <w:basedOn w:val="a"/>
    <w:next w:val="a6"/>
    <w:link w:val="a7"/>
    <w:qFormat/>
    <w:rsid w:val="00366336"/>
    <w:pPr>
      <w:suppressAutoHyphens/>
      <w:jc w:val="center"/>
    </w:pPr>
    <w:rPr>
      <w:szCs w:val="20"/>
      <w:lang w:val="uk-UA" w:eastAsia="zh-CN"/>
    </w:rPr>
  </w:style>
  <w:style w:type="character" w:customStyle="1" w:styleId="a7">
    <w:name w:val="Назва Знак"/>
    <w:basedOn w:val="a0"/>
    <w:link w:val="a5"/>
    <w:rsid w:val="0036633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366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6633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ody Text"/>
    <w:basedOn w:val="a"/>
    <w:link w:val="a8"/>
    <w:rsid w:val="00366336"/>
    <w:pPr>
      <w:spacing w:after="120"/>
    </w:pPr>
  </w:style>
  <w:style w:type="character" w:customStyle="1" w:styleId="a8">
    <w:name w:val="Основний текст Знак"/>
    <w:basedOn w:val="a0"/>
    <w:link w:val="a6"/>
    <w:rsid w:val="003663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36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436-15?nreg=436-15&amp;find=1&amp;text=%E2%F2%F0%F3%F7%E0%ED&amp;x=0&amp;y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11434</Words>
  <Characters>6518</Characters>
  <Application>Microsoft Office Word</Application>
  <DocSecurity>0</DocSecurity>
  <Lines>54</Lines>
  <Paragraphs>35</Paragraphs>
  <ScaleCrop>false</ScaleCrop>
  <Company/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2024-04-29T12:40:00Z</dcterms:created>
  <dcterms:modified xsi:type="dcterms:W3CDTF">2024-04-29T12:40:00Z</dcterms:modified>
</cp:coreProperties>
</file>